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tabs>
          <w:tab w:val="right" w:leader="dot" w:pos="8313"/>
        </w:tabs>
        <w:spacing w:before="240" w:after="120" w:line="400" w:lineRule="exact"/>
        <w:jc w:val="center"/>
        <w:outlineLvl w:val="0"/>
        <w:rPr>
          <w:rFonts w:hint="eastAsia" w:ascii="宋体" w:hAnsi="宋体"/>
          <w:b/>
          <w:bCs/>
          <w:sz w:val="32"/>
          <w:szCs w:val="32"/>
        </w:rPr>
      </w:pPr>
      <w:r>
        <w:rPr>
          <w:rFonts w:hint="eastAsia" w:ascii="宋体" w:hAnsi="宋体"/>
          <w:b/>
          <w:kern w:val="0"/>
          <w:sz w:val="32"/>
          <w:szCs w:val="32"/>
        </w:rPr>
        <w:t>采购公告</w:t>
      </w:r>
    </w:p>
    <w:p>
      <w:pPr>
        <w:tabs>
          <w:tab w:val="left" w:pos="900"/>
        </w:tabs>
        <w:spacing w:line="490" w:lineRule="exact"/>
        <w:ind w:firstLine="482" w:firstLineChars="200"/>
        <w:rPr>
          <w:rFonts w:hint="eastAsia" w:ascii="宋体" w:hAnsi="宋体" w:cs="宋体"/>
          <w:sz w:val="24"/>
          <w:szCs w:val="24"/>
        </w:rPr>
      </w:pPr>
      <w:r>
        <w:rPr>
          <w:rFonts w:hint="eastAsia" w:ascii="宋体" w:hAnsi="宋体" w:cs="宋体"/>
          <w:b/>
          <w:bCs/>
          <w:sz w:val="24"/>
          <w:szCs w:val="24"/>
          <w:u w:val="single"/>
        </w:rPr>
        <w:t>厦门市公路事业发展中心</w:t>
      </w:r>
      <w:r>
        <w:rPr>
          <w:rFonts w:hint="eastAsia" w:ascii="宋体" w:hAnsi="宋体" w:cs="宋体"/>
          <w:sz w:val="24"/>
          <w:szCs w:val="24"/>
        </w:rPr>
        <w:t>已根据采购相关法律法规，经相应程序确定采用</w:t>
      </w:r>
      <w:r>
        <w:rPr>
          <w:rFonts w:hint="eastAsia" w:ascii="宋体" w:hAnsi="宋体" w:cs="宋体"/>
          <w:b/>
          <w:bCs/>
          <w:sz w:val="24"/>
          <w:szCs w:val="24"/>
          <w:u w:val="single"/>
        </w:rPr>
        <w:t>竞争性磋商</w:t>
      </w:r>
      <w:r>
        <w:rPr>
          <w:rFonts w:hint="eastAsia" w:ascii="宋体" w:hAnsi="宋体" w:cs="宋体"/>
          <w:sz w:val="24"/>
          <w:szCs w:val="24"/>
        </w:rPr>
        <w:t>方式组织</w:t>
      </w:r>
      <w:r>
        <w:rPr>
          <w:rFonts w:hint="eastAsia" w:ascii="宋体" w:hAnsi="宋体" w:cs="宋体"/>
          <w:b/>
          <w:bCs/>
          <w:sz w:val="24"/>
          <w:szCs w:val="24"/>
          <w:u w:val="single"/>
        </w:rPr>
        <w:t>厦门市车辆路面动态检测技术监控系统一期工程（设计）</w:t>
      </w:r>
      <w:r>
        <w:rPr>
          <w:rFonts w:hint="eastAsia" w:ascii="宋体" w:hAnsi="宋体" w:cs="宋体"/>
          <w:sz w:val="24"/>
          <w:szCs w:val="24"/>
        </w:rPr>
        <w:t>（以下简称：“本项目”）的采购活动，现欢迎国内合格的</w:t>
      </w:r>
      <w:r>
        <w:rPr>
          <w:rFonts w:hint="eastAsia" w:ascii="宋体" w:hAnsi="宋体" w:cs="宋体"/>
          <w:sz w:val="24"/>
          <w:szCs w:val="24"/>
          <w:lang w:eastAsia="zh-CN"/>
        </w:rPr>
        <w:t>供应商</w:t>
      </w:r>
      <w:r>
        <w:rPr>
          <w:rFonts w:hint="eastAsia" w:ascii="宋体" w:hAnsi="宋体" w:cs="宋体"/>
          <w:sz w:val="24"/>
          <w:szCs w:val="24"/>
        </w:rPr>
        <w:t>前来参加。本项目由采购人委托</w:t>
      </w:r>
      <w:r>
        <w:rPr>
          <w:rFonts w:hint="eastAsia" w:ascii="宋体" w:hAnsi="宋体" w:cs="宋体"/>
          <w:b/>
          <w:bCs/>
          <w:sz w:val="24"/>
          <w:szCs w:val="24"/>
          <w:u w:val="single"/>
        </w:rPr>
        <w:t>天和国咨控股集团有限公司</w:t>
      </w:r>
      <w:r>
        <w:rPr>
          <w:rFonts w:hint="eastAsia" w:ascii="宋体" w:hAnsi="宋体" w:cs="宋体"/>
          <w:sz w:val="24"/>
          <w:szCs w:val="24"/>
        </w:rPr>
        <w:t>开展竞争性磋商活动。</w:t>
      </w:r>
    </w:p>
    <w:p>
      <w:pPr>
        <w:spacing w:line="490" w:lineRule="exact"/>
        <w:ind w:firstLine="482" w:firstLineChars="200"/>
        <w:rPr>
          <w:rFonts w:hint="default" w:ascii="宋体" w:hAnsi="宋体" w:eastAsia="宋体" w:cs="宋体"/>
          <w:b/>
          <w:bCs/>
          <w:sz w:val="24"/>
          <w:szCs w:val="24"/>
          <w:lang w:val="en-US" w:eastAsia="zh-CN"/>
        </w:rPr>
      </w:pPr>
      <w:r>
        <w:rPr>
          <w:rFonts w:hint="eastAsia" w:ascii="宋体" w:hAnsi="宋体" w:cs="宋体"/>
          <w:b/>
          <w:bCs/>
          <w:sz w:val="24"/>
          <w:szCs w:val="24"/>
        </w:rPr>
        <w:t>1、</w:t>
      </w:r>
      <w:r>
        <w:rPr>
          <w:rFonts w:hint="eastAsia" w:ascii="宋体" w:hAnsi="宋体" w:cs="宋体"/>
          <w:b/>
          <w:bCs/>
          <w:sz w:val="24"/>
          <w:szCs w:val="24"/>
          <w:lang w:eastAsia="zh-CN"/>
        </w:rPr>
        <w:t>项目名称：厦门市车辆路面动态检测技术监控系统一期工程（设计）</w:t>
      </w:r>
    </w:p>
    <w:p>
      <w:pPr>
        <w:spacing w:line="490" w:lineRule="exact"/>
        <w:ind w:firstLine="482" w:firstLineChars="200"/>
        <w:rPr>
          <w:rFonts w:hint="default" w:ascii="宋体" w:hAnsi="宋体" w:cs="宋体"/>
          <w:sz w:val="24"/>
          <w:szCs w:val="24"/>
          <w:highlight w:val="none"/>
          <w:lang w:val="en-US"/>
        </w:rPr>
      </w:pPr>
      <w:r>
        <w:rPr>
          <w:rFonts w:hint="eastAsia" w:ascii="宋体" w:hAnsi="宋体" w:cs="宋体"/>
          <w:b/>
          <w:bCs/>
          <w:sz w:val="24"/>
          <w:szCs w:val="24"/>
          <w:highlight w:val="none"/>
        </w:rPr>
        <w:t>2、项目编号</w:t>
      </w:r>
      <w:r>
        <w:rPr>
          <w:rFonts w:hint="eastAsia" w:ascii="宋体" w:hAnsi="宋体" w:cs="宋体"/>
          <w:sz w:val="24"/>
          <w:szCs w:val="24"/>
          <w:highlight w:val="none"/>
        </w:rPr>
        <w:t>：</w:t>
      </w:r>
      <w:r>
        <w:rPr>
          <w:rFonts w:hint="eastAsia" w:ascii="宋体" w:hAnsi="宋体" w:eastAsia="宋体" w:cs="宋体"/>
          <w:b/>
          <w:bCs/>
          <w:sz w:val="24"/>
          <w:szCs w:val="24"/>
          <w:highlight w:val="none"/>
        </w:rPr>
        <w:t>天和[厦]招(设)字2025-012号</w:t>
      </w:r>
    </w:p>
    <w:p>
      <w:pPr>
        <w:spacing w:line="490" w:lineRule="exact"/>
        <w:ind w:firstLine="482" w:firstLineChars="200"/>
        <w:rPr>
          <w:rFonts w:hint="eastAsia" w:ascii="宋体" w:hAnsi="宋体" w:cs="宋体"/>
          <w:sz w:val="24"/>
          <w:szCs w:val="24"/>
          <w:highlight w:val="none"/>
        </w:rPr>
      </w:pPr>
      <w:r>
        <w:rPr>
          <w:rFonts w:hint="eastAsia" w:ascii="宋体" w:hAnsi="宋体" w:cs="宋体"/>
          <w:b/>
          <w:bCs/>
          <w:sz w:val="24"/>
          <w:szCs w:val="24"/>
          <w:highlight w:val="none"/>
          <w:lang w:val="en-US" w:eastAsia="zh-CN"/>
        </w:rPr>
        <w:t>3、</w:t>
      </w:r>
      <w:r>
        <w:rPr>
          <w:rFonts w:hint="eastAsia" w:ascii="宋体" w:hAnsi="宋体" w:cs="宋体"/>
          <w:b/>
          <w:bCs/>
          <w:sz w:val="24"/>
          <w:szCs w:val="24"/>
          <w:highlight w:val="none"/>
        </w:rPr>
        <w:t>采购内容及要求</w:t>
      </w:r>
    </w:p>
    <w:p>
      <w:pPr>
        <w:pStyle w:val="11"/>
        <w:ind w:firstLine="420" w:firstLineChars="200"/>
        <w:jc w:val="left"/>
        <w:rPr>
          <w:rFonts w:hint="default" w:ascii="宋体" w:hAnsi="宋体" w:eastAsia="宋体" w:cs="宋体"/>
          <w:kern w:val="2"/>
          <w:sz w:val="21"/>
          <w:szCs w:val="21"/>
          <w:highlight w:val="none"/>
          <w:lang w:val="en-US" w:eastAsia="zh-CN"/>
        </w:rPr>
      </w:pPr>
      <w:r>
        <w:rPr>
          <w:rFonts w:hint="eastAsia" w:ascii="宋体" w:hAnsi="宋体" w:cs="宋体"/>
          <w:sz w:val="21"/>
          <w:szCs w:val="21"/>
          <w:highlight w:val="none"/>
          <w:lang w:val="en-US" w:eastAsia="zh-CN"/>
        </w:rPr>
        <w:t>本</w:t>
      </w:r>
      <w:r>
        <w:rPr>
          <w:rFonts w:hint="eastAsia" w:ascii="宋体" w:hAnsi="宋体" w:eastAsia="宋体" w:cs="宋体"/>
          <w:kern w:val="2"/>
          <w:sz w:val="21"/>
          <w:szCs w:val="21"/>
          <w:highlight w:val="none"/>
          <w:lang w:eastAsia="zh-CN"/>
        </w:rPr>
        <w:t>项目建安费</w:t>
      </w:r>
      <w:r>
        <w:rPr>
          <w:rFonts w:ascii="宋体" w:hAnsi="宋体" w:eastAsia="宋体" w:cs="宋体"/>
          <w:kern w:val="2"/>
          <w:sz w:val="21"/>
          <w:szCs w:val="21"/>
          <w:highlight w:val="none"/>
          <w:lang w:eastAsia="zh-CN"/>
        </w:rPr>
        <w:t>金额</w:t>
      </w:r>
      <w:r>
        <w:rPr>
          <w:rFonts w:hint="eastAsia" w:ascii="宋体" w:hAnsi="宋体" w:eastAsia="宋体" w:cs="宋体"/>
          <w:kern w:val="2"/>
          <w:sz w:val="21"/>
          <w:szCs w:val="21"/>
          <w:highlight w:val="none"/>
          <w:lang w:eastAsia="zh-CN"/>
        </w:rPr>
        <w:t>：</w:t>
      </w:r>
      <w:r>
        <w:rPr>
          <w:rFonts w:hint="eastAsia" w:ascii="宋体" w:hAnsi="宋体" w:eastAsia="宋体" w:cs="宋体"/>
          <w:kern w:val="2"/>
          <w:sz w:val="21"/>
          <w:szCs w:val="21"/>
          <w:highlight w:val="none"/>
          <w:lang w:val="en-US" w:eastAsia="zh-CN"/>
        </w:rPr>
        <w:t>4018.2万元</w:t>
      </w:r>
    </w:p>
    <w:p>
      <w:pPr>
        <w:pStyle w:val="11"/>
        <w:ind w:firstLine="420" w:firstLineChars="200"/>
        <w:jc w:val="left"/>
        <w:rPr>
          <w:rFonts w:hint="default"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eastAsia="zh-CN"/>
        </w:rPr>
        <w:t>本项目</w:t>
      </w:r>
      <w:r>
        <w:rPr>
          <w:rFonts w:ascii="宋体" w:hAnsi="宋体" w:eastAsia="宋体" w:cs="宋体"/>
          <w:kern w:val="2"/>
          <w:sz w:val="21"/>
          <w:szCs w:val="21"/>
          <w:highlight w:val="none"/>
          <w:lang w:eastAsia="zh-CN"/>
        </w:rPr>
        <w:t>最高限价</w:t>
      </w:r>
      <w:r>
        <w:rPr>
          <w:rFonts w:hint="eastAsia" w:ascii="宋体" w:hAnsi="宋体" w:eastAsia="宋体" w:cs="宋体"/>
          <w:kern w:val="2"/>
          <w:sz w:val="21"/>
          <w:szCs w:val="21"/>
          <w:highlight w:val="none"/>
          <w:lang w:eastAsia="zh-CN"/>
        </w:rPr>
        <w:t>：94.5885万</w:t>
      </w:r>
      <w:r>
        <w:rPr>
          <w:rFonts w:ascii="宋体" w:hAnsi="宋体" w:eastAsia="宋体" w:cs="宋体"/>
          <w:kern w:val="2"/>
          <w:sz w:val="21"/>
          <w:szCs w:val="21"/>
          <w:highlight w:val="none"/>
          <w:lang w:eastAsia="zh-CN"/>
        </w:rPr>
        <w:t>元</w:t>
      </w:r>
    </w:p>
    <w:p>
      <w:pPr>
        <w:pStyle w:val="11"/>
        <w:ind w:firstLine="420" w:firstLineChars="200"/>
        <w:jc w:val="left"/>
        <w:rPr>
          <w:rFonts w:hint="default" w:ascii="宋体" w:hAnsi="宋体" w:eastAsia="宋体" w:cs="宋体"/>
          <w:kern w:val="2"/>
          <w:sz w:val="21"/>
          <w:szCs w:val="21"/>
          <w:highlight w:val="none"/>
          <w:lang w:eastAsia="zh-CN"/>
        </w:rPr>
      </w:pPr>
      <w:r>
        <w:rPr>
          <w:rFonts w:hint="eastAsia" w:ascii="宋体" w:hAnsi="宋体" w:eastAsia="宋体" w:cs="宋体"/>
          <w:kern w:val="2"/>
          <w:sz w:val="21"/>
          <w:szCs w:val="21"/>
          <w:highlight w:val="none"/>
          <w:lang w:eastAsia="zh-CN"/>
        </w:rPr>
        <w:t>磋商</w:t>
      </w:r>
      <w:r>
        <w:rPr>
          <w:rFonts w:ascii="宋体" w:hAnsi="宋体" w:eastAsia="宋体" w:cs="宋体"/>
          <w:kern w:val="2"/>
          <w:sz w:val="21"/>
          <w:szCs w:val="21"/>
          <w:highlight w:val="none"/>
          <w:lang w:eastAsia="zh-CN"/>
        </w:rPr>
        <w:t>保证金金额</w:t>
      </w:r>
      <w:r>
        <w:rPr>
          <w:rFonts w:hint="eastAsia" w:ascii="宋体" w:hAnsi="宋体" w:eastAsia="宋体" w:cs="宋体"/>
          <w:kern w:val="2"/>
          <w:sz w:val="21"/>
          <w:szCs w:val="21"/>
          <w:highlight w:val="none"/>
          <w:lang w:eastAsia="zh-CN"/>
        </w:rPr>
        <w:t>：</w:t>
      </w:r>
      <w:r>
        <w:rPr>
          <w:rFonts w:hint="eastAsia" w:ascii="宋体" w:hAnsi="宋体" w:eastAsia="宋体" w:cs="宋体"/>
          <w:kern w:val="2"/>
          <w:sz w:val="21"/>
          <w:szCs w:val="21"/>
          <w:highlight w:val="none"/>
          <w:lang w:val="en-US" w:eastAsia="zh-CN"/>
        </w:rPr>
        <w:t>无</w:t>
      </w:r>
    </w:p>
    <w:tbl>
      <w:tblPr>
        <w:tblStyle w:val="9"/>
        <w:tblW w:w="91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
        <w:gridCol w:w="3938"/>
        <w:gridCol w:w="1622"/>
        <w:gridCol w:w="811"/>
        <w:gridCol w:w="927"/>
        <w:gridCol w:w="720"/>
        <w:gridCol w:w="6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序号</w:t>
            </w:r>
          </w:p>
        </w:tc>
        <w:tc>
          <w:tcPr>
            <w:tcW w:w="3938" w:type="dxa"/>
            <w:noWrap w:val="0"/>
            <w:vAlign w:val="center"/>
          </w:tcPr>
          <w:p>
            <w:pPr>
              <w:spacing w:line="360" w:lineRule="exact"/>
              <w:jc w:val="center"/>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建设地点</w:t>
            </w:r>
          </w:p>
        </w:tc>
        <w:tc>
          <w:tcPr>
            <w:tcW w:w="1622"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标的名称</w:t>
            </w:r>
          </w:p>
        </w:tc>
        <w:tc>
          <w:tcPr>
            <w:tcW w:w="811"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数量</w:t>
            </w:r>
          </w:p>
        </w:tc>
        <w:tc>
          <w:tcPr>
            <w:tcW w:w="927"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建安费</w:t>
            </w:r>
          </w:p>
        </w:tc>
        <w:tc>
          <w:tcPr>
            <w:tcW w:w="720"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szCs w:val="21"/>
                <w:highlight w:val="none"/>
              </w:rPr>
              <w:t>计量单位</w:t>
            </w:r>
          </w:p>
        </w:tc>
        <w:tc>
          <w:tcPr>
            <w:tcW w:w="647"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szCs w:val="21"/>
              </w:rPr>
              <w:t>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1</w:t>
            </w:r>
          </w:p>
        </w:tc>
        <w:tc>
          <w:tcPr>
            <w:tcW w:w="3938"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default" w:ascii="宋体" w:hAnsi="宋体" w:cs="宋体"/>
                <w:sz w:val="21"/>
                <w:szCs w:val="21"/>
                <w:highlight w:val="none"/>
                <w:vertAlign w:val="baseline"/>
                <w:lang w:val="en-US" w:eastAsia="zh-CN"/>
              </w:rPr>
              <w:t>在旧国道324泉厦交界处（一级公路）、翔安南路（一级公路兼城市快速路‌）与泉州国道228相接处、与漳州G228国道相接处青礁立交-01、青礁立交-02处等4处建设车辆动态检测技术监控系统。</w:t>
            </w:r>
          </w:p>
        </w:tc>
        <w:tc>
          <w:tcPr>
            <w:tcW w:w="1622"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default" w:ascii="宋体" w:hAnsi="宋体" w:cs="宋体"/>
                <w:sz w:val="21"/>
                <w:szCs w:val="21"/>
                <w:highlight w:val="none"/>
                <w:vertAlign w:val="baseline"/>
                <w:lang w:val="en-US" w:eastAsia="zh-CN"/>
              </w:rPr>
              <w:t>厦门市车辆路面动态检测技术监控系统一期工程（设计）</w:t>
            </w:r>
          </w:p>
        </w:tc>
        <w:tc>
          <w:tcPr>
            <w:tcW w:w="811"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1</w:t>
            </w:r>
          </w:p>
        </w:tc>
        <w:tc>
          <w:tcPr>
            <w:tcW w:w="927"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4018.2</w:t>
            </w:r>
          </w:p>
        </w:tc>
        <w:tc>
          <w:tcPr>
            <w:tcW w:w="720"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万元</w:t>
            </w:r>
          </w:p>
        </w:tc>
        <w:tc>
          <w:tcPr>
            <w:tcW w:w="647"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公路工程</w:t>
            </w:r>
          </w:p>
        </w:tc>
      </w:tr>
    </w:tbl>
    <w:p>
      <w:pPr>
        <w:spacing w:line="490" w:lineRule="exact"/>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报价要求：</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5"/>
        <w:gridCol w:w="1995"/>
        <w:gridCol w:w="940"/>
        <w:gridCol w:w="940"/>
        <w:gridCol w:w="940"/>
        <w:gridCol w:w="3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655" w:type="dxa"/>
            <w:noWrap w:val="0"/>
            <w:vAlign w:val="center"/>
          </w:tcPr>
          <w:p>
            <w:pPr>
              <w:spacing w:line="360" w:lineRule="exact"/>
              <w:jc w:val="center"/>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序号</w:t>
            </w:r>
          </w:p>
        </w:tc>
        <w:tc>
          <w:tcPr>
            <w:tcW w:w="1995" w:type="dxa"/>
            <w:noWrap w:val="0"/>
            <w:vAlign w:val="center"/>
          </w:tcPr>
          <w:p>
            <w:pPr>
              <w:spacing w:line="360" w:lineRule="exact"/>
              <w:jc w:val="center"/>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报价内容</w:t>
            </w:r>
          </w:p>
        </w:tc>
        <w:tc>
          <w:tcPr>
            <w:tcW w:w="940" w:type="dxa"/>
            <w:noWrap w:val="0"/>
            <w:vAlign w:val="center"/>
          </w:tcPr>
          <w:p>
            <w:pPr>
              <w:spacing w:line="360" w:lineRule="exact"/>
              <w:jc w:val="center"/>
              <w:rPr>
                <w:rFonts w:hint="default" w:ascii="宋体" w:hAnsi="宋体" w:cs="宋体"/>
                <w:sz w:val="21"/>
                <w:szCs w:val="21"/>
                <w:highlight w:val="none"/>
                <w:vertAlign w:val="baseline"/>
                <w:lang w:val="en-US" w:eastAsia="zh-CN"/>
              </w:rPr>
            </w:pPr>
            <w:r>
              <w:rPr>
                <w:szCs w:val="21"/>
              </w:rPr>
              <w:t>计量单位</w:t>
            </w:r>
          </w:p>
        </w:tc>
        <w:tc>
          <w:tcPr>
            <w:tcW w:w="940" w:type="dxa"/>
            <w:noWrap w:val="0"/>
            <w:vAlign w:val="center"/>
          </w:tcPr>
          <w:p>
            <w:pPr>
              <w:spacing w:line="360" w:lineRule="exact"/>
              <w:jc w:val="center"/>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最高限价</w:t>
            </w:r>
          </w:p>
        </w:tc>
        <w:tc>
          <w:tcPr>
            <w:tcW w:w="940" w:type="dxa"/>
            <w:noWrap w:val="0"/>
            <w:vAlign w:val="center"/>
          </w:tcPr>
          <w:p>
            <w:pPr>
              <w:spacing w:line="360" w:lineRule="exact"/>
              <w:jc w:val="center"/>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价款形式</w:t>
            </w:r>
          </w:p>
        </w:tc>
        <w:tc>
          <w:tcPr>
            <w:tcW w:w="3628" w:type="dxa"/>
            <w:noWrap w:val="0"/>
            <w:vAlign w:val="center"/>
          </w:tcPr>
          <w:p>
            <w:pPr>
              <w:spacing w:line="360" w:lineRule="exact"/>
              <w:jc w:val="center"/>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报价说明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2" w:hRule="atLeast"/>
        </w:trPr>
        <w:tc>
          <w:tcPr>
            <w:tcW w:w="655" w:type="dxa"/>
            <w:noWrap w:val="0"/>
            <w:vAlign w:val="center"/>
          </w:tcPr>
          <w:p>
            <w:pPr>
              <w:spacing w:line="360" w:lineRule="exact"/>
              <w:jc w:val="center"/>
              <w:rPr>
                <w:rFonts w:hint="default"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1</w:t>
            </w:r>
          </w:p>
        </w:tc>
        <w:tc>
          <w:tcPr>
            <w:tcW w:w="1995" w:type="dxa"/>
            <w:noWrap w:val="0"/>
            <w:vAlign w:val="center"/>
          </w:tcPr>
          <w:p>
            <w:pPr>
              <w:spacing w:line="360" w:lineRule="exact"/>
              <w:jc w:val="center"/>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厦门市车辆路面动态检测技术监控系统一期工程（设计）</w:t>
            </w:r>
          </w:p>
        </w:tc>
        <w:tc>
          <w:tcPr>
            <w:tcW w:w="940" w:type="dxa"/>
            <w:noWrap w:val="0"/>
            <w:vAlign w:val="center"/>
          </w:tcPr>
          <w:p>
            <w:pPr>
              <w:spacing w:line="360" w:lineRule="exact"/>
              <w:jc w:val="center"/>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项</w:t>
            </w:r>
          </w:p>
        </w:tc>
        <w:tc>
          <w:tcPr>
            <w:tcW w:w="940" w:type="dxa"/>
            <w:noWrap w:val="0"/>
            <w:vAlign w:val="center"/>
          </w:tcPr>
          <w:p>
            <w:pPr>
              <w:spacing w:line="360" w:lineRule="exact"/>
              <w:jc w:val="center"/>
              <w:rPr>
                <w:rFonts w:hint="eastAsia" w:ascii="宋体" w:hAnsi="宋体" w:eastAsia="宋体" w:cs="宋体"/>
                <w:sz w:val="21"/>
                <w:szCs w:val="21"/>
                <w:highlight w:val="none"/>
                <w:vertAlign w:val="baseline"/>
                <w:lang w:val="en-US" w:eastAsia="zh-CN"/>
              </w:rPr>
            </w:pPr>
            <w:r>
              <w:rPr>
                <w:rFonts w:hint="eastAsia" w:ascii="宋体" w:hAnsi="宋体" w:eastAsia="宋体" w:cs="宋体"/>
                <w:kern w:val="2"/>
                <w:sz w:val="21"/>
                <w:szCs w:val="21"/>
                <w:highlight w:val="none"/>
                <w:lang w:eastAsia="zh-CN"/>
              </w:rPr>
              <w:t>94.5885</w:t>
            </w:r>
            <w:r>
              <w:rPr>
                <w:rFonts w:hint="eastAsia" w:ascii="宋体" w:hAnsi="宋体" w:eastAsia="宋体" w:cs="宋体"/>
                <w:kern w:val="2"/>
                <w:sz w:val="21"/>
                <w:szCs w:val="21"/>
                <w:highlight w:val="none"/>
                <w:lang w:val="en-US" w:eastAsia="zh-CN"/>
              </w:rPr>
              <w:t>万元</w:t>
            </w:r>
          </w:p>
        </w:tc>
        <w:tc>
          <w:tcPr>
            <w:tcW w:w="940" w:type="dxa"/>
            <w:noWrap w:val="0"/>
            <w:vAlign w:val="center"/>
          </w:tcPr>
          <w:p>
            <w:pPr>
              <w:spacing w:line="360" w:lineRule="exact"/>
              <w:jc w:val="center"/>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总价</w:t>
            </w:r>
          </w:p>
        </w:tc>
        <w:tc>
          <w:tcPr>
            <w:tcW w:w="3628" w:type="dxa"/>
            <w:noWrap w:val="0"/>
            <w:vAlign w:val="center"/>
          </w:tcPr>
          <w:p>
            <w:pPr>
              <w:spacing w:line="360" w:lineRule="exact"/>
              <w:jc w:val="both"/>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根据国家发展计划委员会、建设部2002年颁发的《工程勘察设计收费管理规定》和《厦门市建设局等4家单位关于优化我市政府投资项目勘察设计费管理的通知》（厦建设[2021]31号）计取，浮动比例为下浮32%。</w:t>
            </w:r>
          </w:p>
        </w:tc>
      </w:tr>
    </w:tbl>
    <w:p>
      <w:pPr>
        <w:spacing w:line="490" w:lineRule="exact"/>
        <w:ind w:firstLine="482" w:firstLineChars="200"/>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4、磋商供应商的资格要求</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5"/>
        <w:gridCol w:w="65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65" w:type="dxa"/>
            <w:noWrap w:val="0"/>
            <w:vAlign w:val="top"/>
          </w:tcPr>
          <w:p>
            <w:pPr>
              <w:spacing w:line="490" w:lineRule="exact"/>
              <w:jc w:val="center"/>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资格审查要求概况</w:t>
            </w:r>
          </w:p>
        </w:tc>
        <w:tc>
          <w:tcPr>
            <w:tcW w:w="6581" w:type="dxa"/>
            <w:noWrap w:val="0"/>
            <w:vAlign w:val="top"/>
          </w:tcPr>
          <w:p>
            <w:pPr>
              <w:spacing w:line="490" w:lineRule="exact"/>
              <w:jc w:val="center"/>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评审点具体描述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65" w:type="dxa"/>
            <w:noWrap w:val="0"/>
            <w:vAlign w:val="center"/>
          </w:tcPr>
          <w:p>
            <w:pPr>
              <w:spacing w:line="490" w:lineRule="exact"/>
              <w:jc w:val="center"/>
              <w:rPr>
                <w:rFonts w:hint="eastAsia"/>
                <w:kern w:val="2"/>
                <w:sz w:val="21"/>
                <w:szCs w:val="21"/>
                <w:lang w:val="en-US" w:eastAsia="zh-CN" w:bidi="ar-SA"/>
              </w:rPr>
            </w:pPr>
            <w:r>
              <w:t>资质要求</w:t>
            </w:r>
          </w:p>
        </w:tc>
        <w:tc>
          <w:tcPr>
            <w:tcW w:w="6581" w:type="dxa"/>
            <w:noWrap w:val="0"/>
            <w:vAlign w:val="top"/>
          </w:tcPr>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磋商供应商须为中华人民共和国境内注册的独立法人，具有独立承担民事责任的能力且建设行政主管部门核发的合格有效的具有足够能力来履行本合同的具有独立法人资格且设计资质需满足以下①或②或③资质之一：</w:t>
            </w:r>
          </w:p>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①同时具备工程设计公路行业（公路和交通工程）专业甲级资质；</w:t>
            </w:r>
          </w:p>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②工程设计公路行业甲级资质；</w:t>
            </w:r>
          </w:p>
          <w:p>
            <w:pPr>
              <w:spacing w:line="490" w:lineRule="exact"/>
              <w:rPr>
                <w:rFonts w:hint="eastAsia" w:ascii="宋体" w:hAnsi="宋体" w:cs="宋体"/>
                <w:kern w:val="2"/>
                <w:sz w:val="21"/>
                <w:szCs w:val="21"/>
                <w:highlight w:val="none"/>
                <w:vertAlign w:val="baseline"/>
                <w:lang w:val="en-US" w:eastAsia="zh-CN" w:bidi="ar-SA"/>
              </w:rPr>
            </w:pPr>
            <w:r>
              <w:rPr>
                <w:rFonts w:hint="eastAsia" w:ascii="宋体" w:hAnsi="宋体" w:cs="宋体"/>
                <w:sz w:val="21"/>
                <w:szCs w:val="21"/>
                <w:highlight w:val="none"/>
                <w:vertAlign w:val="baseline"/>
                <w:lang w:val="en-US" w:eastAsia="zh-CN"/>
              </w:rPr>
              <w:t>③工程设计综合甲级资质（工程设计综合甲级资质的投标单位，须满足《工程设计资质标准》中与本项目相对应的设计类型对人员配置的要求）；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65" w:type="dxa"/>
            <w:noWrap w:val="0"/>
            <w:vAlign w:val="center"/>
          </w:tcPr>
          <w:p>
            <w:pPr>
              <w:spacing w:line="490" w:lineRule="exact"/>
              <w:jc w:val="center"/>
              <w:rPr>
                <w:sz w:val="21"/>
                <w:szCs w:val="21"/>
              </w:rPr>
            </w:pPr>
            <w:r>
              <w:t>财务状况报告</w:t>
            </w:r>
            <w:r>
              <w:rPr>
                <w:rFonts w:hint="eastAsia"/>
              </w:rPr>
              <w:t>（财务报告、或资信证明）</w:t>
            </w:r>
          </w:p>
        </w:tc>
        <w:tc>
          <w:tcPr>
            <w:tcW w:w="6581" w:type="dxa"/>
            <w:noWrap w:val="0"/>
            <w:vAlign w:val="top"/>
          </w:tcPr>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磋商供应商提供的财务报告复印件（成立年限按照提交响应文件截止时间推算）应符合下列规定：a.成立年限满1年及以上的磋商供应商，提供经审计的上一年度的年度财务报告（磋商供应商2024年度财务报告未审计完成的，可提供经审计的2023年度财务报告）。</w:t>
            </w:r>
          </w:p>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b.成立年限满半年但不足1年的磋商供应商，提供该半年度中任一季度的季度财务报告或该半年度的半年度财务报告。</w:t>
            </w:r>
          </w:p>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c.无法按照以上a、b项规定提供财务报告复印件的磋商供应商（包括但不限于：成立年限满1年及以上的磋商供应商、成立年限满半年但不足1年的磋商供应商、成立年限不足半年的磋商供应商），应选择提供资信证明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65" w:type="dxa"/>
            <w:noWrap w:val="0"/>
            <w:vAlign w:val="center"/>
          </w:tcPr>
          <w:p>
            <w:pPr>
              <w:spacing w:line="490" w:lineRule="exact"/>
              <w:jc w:val="center"/>
              <w:rPr>
                <w:rFonts w:hint="eastAsia" w:eastAsia="宋体"/>
                <w:lang w:eastAsia="zh-CN"/>
              </w:rPr>
            </w:pPr>
            <w:r>
              <w:rPr>
                <w:rFonts w:hint="eastAsia"/>
                <w:lang w:eastAsia="zh-CN"/>
              </w:rPr>
              <w:t>依法</w:t>
            </w:r>
            <w:r>
              <w:rPr>
                <w:rFonts w:hint="eastAsia"/>
              </w:rPr>
              <w:t>缴纳税收</w:t>
            </w:r>
            <w:r>
              <w:rPr>
                <w:rFonts w:hint="eastAsia"/>
                <w:lang w:eastAsia="zh-CN"/>
              </w:rPr>
              <w:t>证明材料</w:t>
            </w:r>
          </w:p>
        </w:tc>
        <w:tc>
          <w:tcPr>
            <w:tcW w:w="6581" w:type="dxa"/>
            <w:noWrap w:val="0"/>
            <w:vAlign w:val="top"/>
          </w:tcPr>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磋商供应商提供的税收缴纳凭据复印件应符合下列规定：a.提交响应文件截止时间前（不含提交响应文件截止时间的当月）已依法缴纳税收的磋商供应商，提供提交响应文件截止时间前六个月（不含提交响应文件截止时间的当月）中任一月份的税收缴纳凭据复印件。</w:t>
            </w:r>
          </w:p>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b.提交响应文件截止时间的当月成立的磋商供应商,视同满足本项资格条件要求。</w:t>
            </w:r>
          </w:p>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c.若为依法免税范围的磋商供应商，提供依法免税证明材料的，视同满足本项资格条件要求。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65" w:type="dxa"/>
            <w:noWrap w:val="0"/>
            <w:vAlign w:val="center"/>
          </w:tcPr>
          <w:p>
            <w:pPr>
              <w:spacing w:line="490" w:lineRule="exact"/>
              <w:jc w:val="center"/>
              <w:rPr>
                <w:rFonts w:hint="eastAsia" w:eastAsia="宋体"/>
                <w:lang w:eastAsia="zh-CN"/>
              </w:rPr>
            </w:pPr>
            <w:r>
              <w:rPr>
                <w:rFonts w:hint="eastAsia"/>
                <w:lang w:eastAsia="zh-CN"/>
              </w:rPr>
              <w:t>依法</w:t>
            </w:r>
            <w:r>
              <w:rPr>
                <w:rFonts w:hint="eastAsia"/>
              </w:rPr>
              <w:t>缴纳社会保障资金</w:t>
            </w:r>
            <w:r>
              <w:rPr>
                <w:rFonts w:hint="eastAsia"/>
                <w:lang w:eastAsia="zh-CN"/>
              </w:rPr>
              <w:t>证明材料</w:t>
            </w:r>
          </w:p>
        </w:tc>
        <w:tc>
          <w:tcPr>
            <w:tcW w:w="6581" w:type="dxa"/>
            <w:noWrap w:val="0"/>
            <w:vAlign w:val="top"/>
          </w:tcPr>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磋商供应商提供的社会保障资金缴纳凭据复印件应符合下列规定：a.提交响应文件截止时间前（不含提交响应文件截止时间的当月）已依法缴纳社会保障资金的磋商供应商，提供提交响应文件截止时间前六个月（不含提交响应文件截止时间的当月）中任一月份的社会保障资金缴纳凭据复印件。</w:t>
            </w:r>
          </w:p>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b.提交响应文件截止时间的当月成立的磋商供应商，视同满足本项资格条件要求。</w:t>
            </w:r>
          </w:p>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c.若为依法不需要缴纳或暂缓缴纳社会保障资金的磋商供应商，提供依法不需要缴纳或暂缓缴纳社会保障资金证明材料的，视同满足本项资格条件要求。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65" w:type="dxa"/>
            <w:noWrap w:val="0"/>
            <w:vAlign w:val="center"/>
          </w:tcPr>
          <w:p>
            <w:pPr>
              <w:spacing w:line="490" w:lineRule="exact"/>
              <w:jc w:val="center"/>
              <w:rPr>
                <w:rFonts w:hint="eastAsia" w:eastAsia="宋体"/>
                <w:lang w:eastAsia="zh-CN"/>
              </w:rPr>
            </w:pPr>
            <w:r>
              <w:rPr>
                <w:rFonts w:hint="eastAsia"/>
                <w:lang w:eastAsia="zh-CN"/>
              </w:rPr>
              <w:t>具备</w:t>
            </w:r>
            <w:r>
              <w:rPr>
                <w:rFonts w:hint="eastAsia"/>
              </w:rPr>
              <w:t>履行合同所必需的设备和专业技术能力的证明材料或声明函</w:t>
            </w:r>
          </w:p>
        </w:tc>
        <w:tc>
          <w:tcPr>
            <w:tcW w:w="6581" w:type="dxa"/>
            <w:noWrap w:val="0"/>
            <w:vAlign w:val="center"/>
          </w:tcPr>
          <w:p>
            <w:pPr>
              <w:spacing w:line="490" w:lineRule="exact"/>
              <w:jc w:val="lef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磋商供应商具备履行合同所必需的设备和专业技术能力的证明材料或声明函。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65" w:type="dxa"/>
            <w:noWrap w:val="0"/>
            <w:vAlign w:val="center"/>
          </w:tcPr>
          <w:p>
            <w:pPr>
              <w:spacing w:line="490" w:lineRule="exact"/>
              <w:jc w:val="center"/>
              <w:rPr>
                <w:rFonts w:hint="eastAsia"/>
              </w:rPr>
            </w:pPr>
            <w:r>
              <w:rPr>
                <w:rFonts w:hint="eastAsia"/>
              </w:rPr>
              <w:t>参加采购活动前3年内在经营活动中没有重大违法记录</w:t>
            </w:r>
          </w:p>
        </w:tc>
        <w:tc>
          <w:tcPr>
            <w:tcW w:w="6581" w:type="dxa"/>
            <w:noWrap w:val="0"/>
            <w:vAlign w:val="top"/>
          </w:tcPr>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参加采购活动前3年内（开业不足三年的，自开业以来）在经营活动中没有重大违法记录（或者在参加采购活动前3年内因违法经营被禁止在一定期限内参加采购活动，期限已届满）以及磋商供应商未处于被责令停业、取消、暂停投标资格状态、近三年内无行贿犯罪情形的书面声明。</w:t>
            </w:r>
          </w:p>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1）重大违法记录：指磋商供应商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65" w:type="dxa"/>
            <w:noWrap w:val="0"/>
            <w:vAlign w:val="center"/>
          </w:tcPr>
          <w:p>
            <w:pPr>
              <w:spacing w:line="490" w:lineRule="exact"/>
              <w:jc w:val="center"/>
              <w:rPr>
                <w:sz w:val="21"/>
                <w:szCs w:val="21"/>
              </w:rPr>
            </w:pPr>
            <w:r>
              <w:t>信用记录要求</w:t>
            </w:r>
          </w:p>
        </w:tc>
        <w:tc>
          <w:tcPr>
            <w:tcW w:w="6581" w:type="dxa"/>
            <w:noWrap w:val="0"/>
            <w:vAlign w:val="top"/>
          </w:tcPr>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磋商供应商未被工商行政管理机关在国家企业信用信息公示系统中列入严重违法失信名单（不包括分支机构）；未被最高人民法院在“信用中国”网站（网址http://www.creditchina.gov.cn）或各级信用信息共享平台中列入失信被执行人名单（不包括分支机构）；在近三年内磋商供应商（不包括分支机构）或其法定代表人、拟委任的设计项目负责人无行贿犯罪行为（以“中国裁判文书网”网址http://wenshu.court.gov.cn/的查询结果为准）。信用记录查询的截止时点：信用记录查询的截止时点为本项目响应截止当日，最终以磋商小组查询的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65" w:type="dxa"/>
            <w:noWrap w:val="0"/>
            <w:vAlign w:val="center"/>
          </w:tcPr>
          <w:p>
            <w:pPr>
              <w:spacing w:line="490" w:lineRule="exact"/>
              <w:jc w:val="center"/>
              <w:rPr>
                <w:rFonts w:hint="eastAsia" w:eastAsia="宋体"/>
                <w:lang w:eastAsia="zh-CN"/>
              </w:rPr>
            </w:pPr>
            <w:r>
              <w:rPr>
                <w:rFonts w:hint="eastAsia"/>
              </w:rPr>
              <w:t>中小企业</w:t>
            </w:r>
            <w:r>
              <w:rPr>
                <w:rFonts w:hint="eastAsia"/>
                <w:lang w:eastAsia="zh-CN"/>
              </w:rPr>
              <w:t>声明</w:t>
            </w:r>
          </w:p>
        </w:tc>
        <w:tc>
          <w:tcPr>
            <w:tcW w:w="6581" w:type="dxa"/>
            <w:noWrap w:val="0"/>
            <w:vAlign w:val="top"/>
          </w:tcPr>
          <w:p>
            <w:pPr>
              <w:spacing w:line="490" w:lineRule="exact"/>
              <w:rPr>
                <w:rFonts w:hint="eastAsia" w:ascii="宋体" w:hAnsi="宋体" w:cs="宋体"/>
                <w:sz w:val="21"/>
                <w:szCs w:val="21"/>
                <w:highlight w:val="none"/>
                <w:vertAlign w:val="baseline"/>
                <w:lang w:val="en-US" w:eastAsia="zh-CN"/>
              </w:rPr>
            </w:pPr>
            <w:r>
              <w:rPr>
                <w:rFonts w:hint="eastAsia" w:ascii="宋体" w:hAnsi="宋体" w:eastAsia="宋体" w:cs="宋体"/>
                <w:color w:val="auto"/>
                <w:kern w:val="0"/>
                <w:sz w:val="21"/>
                <w:szCs w:val="21"/>
                <w:highlight w:val="none"/>
                <w:lang w:bidi="ar"/>
              </w:rPr>
              <w:t>①</w:t>
            </w:r>
            <w:r>
              <w:rPr>
                <w:rFonts w:hint="eastAsia" w:ascii="宋体" w:hAnsi="宋体" w:eastAsia="宋体" w:cs="宋体"/>
                <w:color w:val="auto"/>
                <w:kern w:val="0"/>
                <w:sz w:val="21"/>
                <w:szCs w:val="21"/>
                <w:highlight w:val="none"/>
                <w:lang w:val="en-US" w:eastAsia="zh-CN" w:bidi="ar"/>
              </w:rPr>
              <w:t>供应商</w:t>
            </w:r>
            <w:r>
              <w:rPr>
                <w:rFonts w:hint="eastAsia" w:ascii="宋体" w:hAnsi="宋体" w:eastAsia="宋体" w:cs="宋体"/>
                <w:color w:val="auto"/>
                <w:kern w:val="0"/>
                <w:sz w:val="21"/>
                <w:szCs w:val="21"/>
                <w:highlight w:val="none"/>
                <w:lang w:bidi="ar"/>
              </w:rPr>
              <w:t>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w:t>
            </w:r>
            <w:r>
              <w:rPr>
                <w:rFonts w:hint="eastAsia" w:ascii="宋体" w:hAnsi="宋体" w:eastAsia="宋体" w:cs="宋体"/>
                <w:b/>
                <w:bCs/>
                <w:color w:val="auto"/>
                <w:kern w:val="0"/>
                <w:sz w:val="21"/>
                <w:szCs w:val="21"/>
                <w:highlight w:val="none"/>
                <w:lang w:bidi="ar"/>
              </w:rPr>
              <w:t>本项目采购标的对应的中小企业划分标准所属行业</w:t>
            </w:r>
            <w:r>
              <w:rPr>
                <w:rFonts w:hint="eastAsia" w:ascii="宋体" w:hAnsi="宋体" w:eastAsia="宋体" w:cs="宋体"/>
                <w:b/>
                <w:bCs/>
                <w:color w:val="auto"/>
                <w:kern w:val="0"/>
                <w:sz w:val="21"/>
                <w:szCs w:val="21"/>
                <w:highlight w:val="none"/>
                <w:lang w:eastAsia="zh-CN" w:bidi="ar"/>
              </w:rPr>
              <w:t>：</w:t>
            </w:r>
            <w:r>
              <w:rPr>
                <w:rFonts w:hint="eastAsia" w:ascii="宋体" w:hAnsi="宋体" w:eastAsia="宋体" w:cs="宋体"/>
                <w:b/>
                <w:bCs/>
                <w:color w:val="auto"/>
                <w:kern w:val="0"/>
                <w:sz w:val="21"/>
                <w:szCs w:val="21"/>
                <w:highlight w:val="none"/>
                <w:u w:val="single"/>
                <w:lang w:eastAsia="zh-CN" w:bidi="ar"/>
              </w:rPr>
              <w:t>交通运输业</w:t>
            </w:r>
            <w:r>
              <w:rPr>
                <w:rFonts w:hint="eastAsia" w:ascii="宋体" w:hAnsi="宋体" w:eastAsia="宋体" w:cs="宋体"/>
                <w:b/>
                <w:bCs/>
                <w:color w:val="auto"/>
                <w:kern w:val="0"/>
                <w:sz w:val="21"/>
                <w:szCs w:val="21"/>
                <w:highlight w:val="none"/>
                <w:lang w:bidi="ar"/>
              </w:rPr>
              <w:t>。</w:t>
            </w:r>
            <w:r>
              <w:rPr>
                <w:rFonts w:hint="eastAsia" w:ascii="宋体" w:hAnsi="宋体" w:eastAsia="宋体" w:cs="宋体"/>
                <w:color w:val="auto"/>
                <w:kern w:val="0"/>
                <w:sz w:val="21"/>
                <w:szCs w:val="21"/>
                <w:highlight w:val="none"/>
                <w:lang w:bidi="ar"/>
              </w:rPr>
              <w:t>②</w:t>
            </w:r>
            <w:r>
              <w:rPr>
                <w:rFonts w:hint="eastAsia" w:ascii="宋体" w:hAnsi="宋体" w:eastAsia="宋体" w:cs="宋体"/>
                <w:color w:val="auto"/>
                <w:kern w:val="0"/>
                <w:sz w:val="21"/>
                <w:szCs w:val="21"/>
                <w:highlight w:val="none"/>
                <w:lang w:val="en-US" w:eastAsia="zh-CN" w:bidi="ar"/>
              </w:rPr>
              <w:t>供应商</w:t>
            </w:r>
            <w:r>
              <w:rPr>
                <w:rFonts w:hint="eastAsia" w:ascii="宋体" w:hAnsi="宋体" w:eastAsia="宋体" w:cs="宋体"/>
                <w:color w:val="auto"/>
                <w:kern w:val="0"/>
                <w:sz w:val="21"/>
                <w:szCs w:val="21"/>
                <w:highlight w:val="none"/>
                <w:lang w:bidi="ar"/>
              </w:rPr>
              <w:t>为监狱企业的，可不填写本声明函，根据其提供的由省级以上监狱管理局、戒毒管理局（含新疆生产建设兵团）出具的属于监狱企业的证明文件进行认定，监狱企业视同小型、微型企业。③</w:t>
            </w:r>
            <w:r>
              <w:rPr>
                <w:rFonts w:hint="eastAsia" w:ascii="宋体" w:hAnsi="宋体" w:eastAsia="宋体" w:cs="宋体"/>
                <w:color w:val="auto"/>
                <w:kern w:val="0"/>
                <w:sz w:val="21"/>
                <w:szCs w:val="21"/>
                <w:highlight w:val="none"/>
                <w:lang w:val="en-US" w:eastAsia="zh-CN" w:bidi="ar"/>
              </w:rPr>
              <w:t>供应商</w:t>
            </w:r>
            <w:r>
              <w:rPr>
                <w:rFonts w:hint="eastAsia" w:ascii="宋体" w:hAnsi="宋体" w:eastAsia="宋体" w:cs="宋体"/>
                <w:color w:val="auto"/>
                <w:kern w:val="0"/>
                <w:sz w:val="21"/>
                <w:szCs w:val="21"/>
                <w:highlight w:val="none"/>
                <w:lang w:bidi="ar"/>
              </w:rPr>
              <w:t>为残疾人福利性单位的，可不填写本声明函，根据其提供的《残疾人福利性单位声明函》进行认定，残疾人福利性单位视同小型、微型企业。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2565" w:type="dxa"/>
            <w:noWrap w:val="0"/>
            <w:vAlign w:val="center"/>
          </w:tcPr>
          <w:p>
            <w:pPr>
              <w:spacing w:line="490" w:lineRule="exact"/>
              <w:jc w:val="center"/>
              <w:rPr>
                <w:rFonts w:hint="eastAsia" w:eastAsia="宋体"/>
                <w:lang w:eastAsia="zh-CN"/>
              </w:rPr>
            </w:pPr>
            <w:r>
              <w:t>联合体</w:t>
            </w:r>
            <w:r>
              <w:rPr>
                <w:rFonts w:hint="eastAsia"/>
                <w:lang w:eastAsia="zh-CN"/>
              </w:rPr>
              <w:t>要求</w:t>
            </w:r>
          </w:p>
        </w:tc>
        <w:tc>
          <w:tcPr>
            <w:tcW w:w="6581" w:type="dxa"/>
            <w:noWrap w:val="0"/>
            <w:vAlign w:val="center"/>
          </w:tcPr>
          <w:p>
            <w:pPr>
              <w:spacing w:line="490" w:lineRule="exact"/>
              <w:rPr>
                <w:rFonts w:hint="eastAsia" w:ascii="宋体" w:hAnsi="宋体" w:cs="宋体"/>
                <w:sz w:val="21"/>
                <w:szCs w:val="21"/>
                <w:highlight w:val="none"/>
                <w:vertAlign w:val="baseline"/>
                <w:lang w:val="en-US" w:eastAsia="zh-CN"/>
              </w:rPr>
            </w:pPr>
            <w:r>
              <w:rPr>
                <w:rFonts w:hint="eastAsia" w:ascii="宋体" w:hAnsi="宋体" w:cs="宋体"/>
                <w:sz w:val="21"/>
                <w:szCs w:val="21"/>
                <w:highlight w:val="none"/>
                <w:vertAlign w:val="baseline"/>
                <w:lang w:val="en-US" w:eastAsia="zh-CN"/>
              </w:rPr>
              <w:t>本项目不接受联合体磋商。</w:t>
            </w:r>
          </w:p>
        </w:tc>
      </w:tr>
    </w:tbl>
    <w:p>
      <w:pPr>
        <w:numPr>
          <w:ilvl w:val="0"/>
          <w:numId w:val="0"/>
        </w:numPr>
        <w:spacing w:line="490" w:lineRule="exact"/>
        <w:ind w:firstLine="482" w:firstLineChars="200"/>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根据上述资格要求，响应文件中应提交的“</w:t>
      </w:r>
      <w:r>
        <w:rPr>
          <w:rFonts w:hint="eastAsia" w:ascii="宋体" w:hAnsi="宋体" w:eastAsia="宋体" w:cs="宋体"/>
          <w:b/>
          <w:bCs/>
          <w:sz w:val="24"/>
          <w:szCs w:val="24"/>
          <w:highlight w:val="none"/>
          <w:lang w:val="en-US" w:eastAsia="zh-CN"/>
        </w:rPr>
        <w:t>磋商供应商的资格及资信证明文件</w:t>
      </w:r>
      <w:r>
        <w:rPr>
          <w:rFonts w:hint="eastAsia" w:ascii="宋体" w:hAnsi="宋体" w:eastAsia="宋体" w:cs="宋体"/>
          <w:b/>
          <w:bCs/>
          <w:sz w:val="24"/>
          <w:szCs w:val="24"/>
          <w:lang w:val="en-US" w:eastAsia="zh-CN"/>
        </w:rPr>
        <w:t>”具体详见磋商文件第二章。</w:t>
      </w:r>
    </w:p>
    <w:p>
      <w:pPr>
        <w:numPr>
          <w:ilvl w:val="0"/>
          <w:numId w:val="0"/>
        </w:numPr>
        <w:spacing w:line="490" w:lineRule="exact"/>
        <w:ind w:firstLine="482" w:firstLineChars="200"/>
        <w:rPr>
          <w:rFonts w:hint="eastAsia" w:ascii="宋体" w:hAnsi="宋体" w:eastAsia="宋体" w:cs="宋体"/>
          <w:b w:val="0"/>
          <w:bCs w:val="0"/>
          <w:sz w:val="24"/>
          <w:szCs w:val="24"/>
          <w:highlight w:val="none"/>
          <w:lang w:val="en-US" w:eastAsia="zh-CN"/>
        </w:rPr>
      </w:pPr>
      <w:r>
        <w:rPr>
          <w:rFonts w:hint="eastAsia" w:ascii="宋体" w:hAnsi="宋体" w:eastAsia="宋体" w:cs="宋体"/>
          <w:b/>
          <w:bCs/>
          <w:sz w:val="24"/>
          <w:szCs w:val="24"/>
          <w:highlight w:val="none"/>
          <w:lang w:val="en-US" w:eastAsia="zh-CN"/>
        </w:rPr>
        <w:t>5、获取磋商文件时间、地点、方式：</w:t>
      </w:r>
      <w:r>
        <w:rPr>
          <w:rFonts w:hint="eastAsia" w:ascii="宋体" w:hAnsi="宋体" w:eastAsia="宋体" w:cs="宋体"/>
          <w:b w:val="0"/>
          <w:bCs w:val="0"/>
          <w:sz w:val="24"/>
          <w:szCs w:val="24"/>
          <w:highlight w:val="none"/>
          <w:lang w:val="en-US" w:eastAsia="zh-CN"/>
        </w:rPr>
        <w:t>凡有意参加本项目竞争性磋商的潜在供应商，请于2025年04月04日至2025年04月11日（法定公休日、法定节假日除外），上午08:30-11:30 ，下午14:30-17:30（北京时间，下同）至天和国咨控股集团有限公司（福建省厦门市湖里区高崎南五路222号航空商务广场2号楼11层1118室）处购买或通过邮件、邮寄方式购买（邮寄费用自理）本项目磋商文件。</w:t>
      </w:r>
    </w:p>
    <w:p>
      <w:pPr>
        <w:numPr>
          <w:ilvl w:val="0"/>
          <w:numId w:val="0"/>
        </w:numPr>
        <w:spacing w:line="490" w:lineRule="exact"/>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6、磋商</w:t>
      </w:r>
      <w:r>
        <w:rPr>
          <w:rFonts w:hint="eastAsia" w:ascii="宋体" w:hAnsi="宋体" w:eastAsia="宋体" w:cs="宋体"/>
          <w:b/>
          <w:bCs/>
          <w:sz w:val="24"/>
          <w:szCs w:val="24"/>
          <w:highlight w:val="none"/>
        </w:rPr>
        <w:t>文件售价：</w:t>
      </w:r>
      <w:r>
        <w:rPr>
          <w:rFonts w:hint="eastAsia" w:ascii="宋体" w:hAnsi="宋体" w:cs="宋体"/>
          <w:sz w:val="24"/>
          <w:szCs w:val="24"/>
          <w:highlight w:val="none"/>
        </w:rPr>
        <w:t>磋商文件每套售价</w:t>
      </w:r>
      <w:r>
        <w:rPr>
          <w:rFonts w:hint="eastAsia" w:ascii="宋体" w:hAnsi="宋体" w:cs="宋体"/>
          <w:sz w:val="24"/>
          <w:szCs w:val="24"/>
          <w:highlight w:val="none"/>
          <w:u w:val="single"/>
          <w:lang w:val="en-US" w:eastAsia="zh-CN"/>
        </w:rPr>
        <w:t>2</w:t>
      </w:r>
      <w:r>
        <w:rPr>
          <w:rFonts w:hint="eastAsia" w:ascii="宋体" w:hAnsi="宋体" w:cs="宋体"/>
          <w:sz w:val="24"/>
          <w:szCs w:val="24"/>
          <w:highlight w:val="none"/>
          <w:u w:val="single"/>
        </w:rPr>
        <w:t>00</w:t>
      </w:r>
      <w:r>
        <w:rPr>
          <w:rFonts w:hint="eastAsia" w:ascii="宋体" w:hAnsi="宋体" w:cs="宋体"/>
          <w:sz w:val="24"/>
          <w:szCs w:val="24"/>
          <w:highlight w:val="none"/>
        </w:rPr>
        <w:t>元人民币，含纸质版和电子版，售后不退。未购买相应磋商文件的不受理其投标。</w:t>
      </w:r>
    </w:p>
    <w:p>
      <w:pPr>
        <w:numPr>
          <w:ilvl w:val="0"/>
          <w:numId w:val="0"/>
        </w:numPr>
        <w:spacing w:line="490" w:lineRule="exact"/>
        <w:ind w:firstLine="482" w:firstLineChars="200"/>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7、首次响应文件递交截止时间及地点：</w:t>
      </w:r>
      <w:bookmarkStart w:id="0" w:name="OLE_LINK13"/>
      <w:r>
        <w:rPr>
          <w:rFonts w:hint="eastAsia" w:ascii="宋体" w:hAnsi="宋体" w:cs="宋体"/>
          <w:sz w:val="24"/>
          <w:szCs w:val="24"/>
          <w:highlight w:val="none"/>
          <w:u w:val="single"/>
        </w:rPr>
        <w:t>202</w:t>
      </w:r>
      <w:r>
        <w:rPr>
          <w:rFonts w:hint="eastAsia" w:ascii="宋体" w:hAnsi="宋体" w:cs="宋体"/>
          <w:sz w:val="24"/>
          <w:szCs w:val="24"/>
          <w:highlight w:val="none"/>
          <w:u w:val="single"/>
          <w:lang w:val="en-US" w:eastAsia="zh-CN"/>
        </w:rPr>
        <w:t>5</w:t>
      </w:r>
      <w:r>
        <w:rPr>
          <w:rFonts w:hint="eastAsia" w:ascii="宋体" w:hAnsi="宋体" w:cs="宋体"/>
          <w:sz w:val="24"/>
          <w:szCs w:val="24"/>
          <w:highlight w:val="none"/>
          <w:u w:val="single"/>
        </w:rPr>
        <w:t>年</w:t>
      </w:r>
      <w:r>
        <w:rPr>
          <w:rFonts w:hint="eastAsia" w:ascii="宋体" w:hAnsi="宋体" w:cs="宋体"/>
          <w:sz w:val="24"/>
          <w:szCs w:val="24"/>
          <w:highlight w:val="none"/>
          <w:u w:val="single"/>
          <w:lang w:val="en-US" w:eastAsia="zh-CN"/>
        </w:rPr>
        <w:t>04</w:t>
      </w:r>
      <w:r>
        <w:rPr>
          <w:rFonts w:hint="eastAsia" w:ascii="宋体" w:hAnsi="宋体" w:cs="宋体"/>
          <w:sz w:val="24"/>
          <w:szCs w:val="24"/>
          <w:highlight w:val="none"/>
          <w:u w:val="single"/>
        </w:rPr>
        <w:t>月</w:t>
      </w:r>
      <w:r>
        <w:rPr>
          <w:rFonts w:hint="eastAsia" w:ascii="宋体" w:hAnsi="宋体" w:cs="宋体"/>
          <w:sz w:val="24"/>
          <w:szCs w:val="24"/>
          <w:highlight w:val="none"/>
          <w:u w:val="single"/>
          <w:lang w:val="en-US" w:eastAsia="zh-CN"/>
        </w:rPr>
        <w:t>14</w:t>
      </w:r>
      <w:r>
        <w:rPr>
          <w:rFonts w:hint="eastAsia" w:ascii="宋体" w:hAnsi="宋体" w:cs="宋体"/>
          <w:sz w:val="24"/>
          <w:szCs w:val="24"/>
          <w:highlight w:val="none"/>
          <w:u w:val="single"/>
        </w:rPr>
        <w:t>日 09:</w:t>
      </w:r>
      <w:r>
        <w:rPr>
          <w:rFonts w:hint="eastAsia" w:ascii="宋体" w:hAnsi="宋体" w:cs="宋体"/>
          <w:sz w:val="24"/>
          <w:szCs w:val="24"/>
          <w:highlight w:val="none"/>
          <w:u w:val="single"/>
          <w:lang w:val="en-US" w:eastAsia="zh-CN"/>
        </w:rPr>
        <w:t>0</w:t>
      </w:r>
      <w:r>
        <w:rPr>
          <w:rFonts w:hint="eastAsia" w:ascii="宋体" w:hAnsi="宋体" w:cs="宋体"/>
          <w:sz w:val="24"/>
          <w:szCs w:val="24"/>
          <w:highlight w:val="none"/>
          <w:u w:val="single"/>
        </w:rPr>
        <w:t xml:space="preserve">0 </w:t>
      </w:r>
      <w:bookmarkEnd w:id="0"/>
      <w:r>
        <w:rPr>
          <w:rFonts w:hint="eastAsia" w:ascii="宋体" w:hAnsi="宋体" w:cs="宋体"/>
          <w:sz w:val="24"/>
          <w:szCs w:val="24"/>
          <w:highlight w:val="none"/>
        </w:rPr>
        <w:t>（北京时间），</w:t>
      </w:r>
      <w:r>
        <w:rPr>
          <w:rFonts w:hint="eastAsia" w:ascii="宋体" w:hAnsi="宋体" w:cs="宋体"/>
          <w:sz w:val="24"/>
          <w:szCs w:val="24"/>
          <w:highlight w:val="none"/>
          <w:lang w:eastAsia="zh-CN"/>
        </w:rPr>
        <w:t>供应商</w:t>
      </w:r>
      <w:r>
        <w:rPr>
          <w:rFonts w:hint="eastAsia" w:ascii="宋体" w:hAnsi="宋体" w:cs="宋体"/>
          <w:sz w:val="24"/>
          <w:szCs w:val="24"/>
          <w:highlight w:val="none"/>
        </w:rPr>
        <w:t>应在截止时间前将磋商响应文件递交到</w:t>
      </w:r>
      <w:r>
        <w:rPr>
          <w:rFonts w:hint="eastAsia" w:ascii="宋体" w:hAnsi="宋体" w:cs="宋体"/>
          <w:b/>
          <w:sz w:val="24"/>
          <w:szCs w:val="24"/>
          <w:highlight w:val="none"/>
        </w:rPr>
        <w:t>福建省厦门市湖里区高崎南五路222号航空商务广场2号楼10层开标室</w:t>
      </w:r>
      <w:r>
        <w:rPr>
          <w:rFonts w:hint="eastAsia" w:ascii="宋体" w:hAnsi="宋体" w:cs="宋体"/>
          <w:sz w:val="24"/>
          <w:szCs w:val="24"/>
          <w:highlight w:val="none"/>
        </w:rPr>
        <w:t>，</w:t>
      </w:r>
      <w:r>
        <w:rPr>
          <w:rFonts w:hint="eastAsia" w:ascii="宋体" w:hAnsi="宋体" w:eastAsia="宋体" w:cs="宋体"/>
          <w:sz w:val="24"/>
          <w:szCs w:val="24"/>
          <w:highlight w:val="none"/>
          <w:lang w:eastAsia="zh-CN"/>
        </w:rPr>
        <w:t>递交磋商响应文件的内容及要求详见第二章竞争性磋商须知前附表1第</w:t>
      </w:r>
      <w:r>
        <w:rPr>
          <w:rFonts w:hint="eastAsia" w:ascii="宋体" w:hAnsi="宋体" w:eastAsia="宋体" w:cs="宋体"/>
          <w:sz w:val="24"/>
          <w:szCs w:val="24"/>
          <w:highlight w:val="none"/>
          <w:lang w:val="en-US" w:eastAsia="zh-CN"/>
        </w:rPr>
        <w:t>5项内容，</w:t>
      </w:r>
      <w:r>
        <w:rPr>
          <w:rFonts w:hint="eastAsia" w:ascii="宋体" w:hAnsi="宋体" w:cs="宋体"/>
          <w:sz w:val="24"/>
          <w:szCs w:val="24"/>
          <w:highlight w:val="none"/>
        </w:rPr>
        <w:t>逾期收到的或不符合规定的磋商响应文件将被拒绝。</w:t>
      </w:r>
    </w:p>
    <w:p>
      <w:pPr>
        <w:numPr>
          <w:ilvl w:val="0"/>
          <w:numId w:val="0"/>
        </w:numPr>
        <w:spacing w:line="490" w:lineRule="exact"/>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磋商时间及地点：</w:t>
      </w:r>
    </w:p>
    <w:p>
      <w:pPr>
        <w:numPr>
          <w:ilvl w:val="0"/>
          <w:numId w:val="0"/>
        </w:numPr>
        <w:spacing w:line="490" w:lineRule="exact"/>
        <w:ind w:firstLine="480" w:firstLineChars="200"/>
        <w:rPr>
          <w:rFonts w:hint="eastAsia" w:ascii="宋体" w:hAnsi="宋体" w:cs="宋体"/>
          <w:sz w:val="24"/>
          <w:szCs w:val="24"/>
          <w:highlight w:val="none"/>
          <w:lang w:eastAsia="zh-CN"/>
        </w:rPr>
      </w:pPr>
      <w:r>
        <w:rPr>
          <w:rFonts w:hint="eastAsia" w:ascii="宋体" w:hAnsi="宋体" w:eastAsia="宋体" w:cs="宋体"/>
          <w:b w:val="0"/>
          <w:bCs w:val="0"/>
          <w:sz w:val="24"/>
          <w:szCs w:val="24"/>
          <w:highlight w:val="none"/>
          <w:lang w:eastAsia="zh-CN"/>
        </w:rPr>
        <w:t>时间：</w:t>
      </w:r>
      <w:r>
        <w:rPr>
          <w:rFonts w:hint="eastAsia" w:ascii="宋体" w:hAnsi="宋体" w:cs="宋体"/>
          <w:sz w:val="24"/>
          <w:szCs w:val="24"/>
          <w:highlight w:val="none"/>
          <w:u w:val="single"/>
        </w:rPr>
        <w:t>202</w:t>
      </w:r>
      <w:r>
        <w:rPr>
          <w:rFonts w:hint="eastAsia" w:ascii="宋体" w:hAnsi="宋体" w:cs="宋体"/>
          <w:sz w:val="24"/>
          <w:szCs w:val="24"/>
          <w:highlight w:val="none"/>
          <w:u w:val="single"/>
          <w:lang w:val="en-US" w:eastAsia="zh-CN"/>
        </w:rPr>
        <w:t>5</w:t>
      </w:r>
      <w:r>
        <w:rPr>
          <w:rFonts w:hint="eastAsia" w:ascii="宋体" w:hAnsi="宋体" w:cs="宋体"/>
          <w:sz w:val="24"/>
          <w:szCs w:val="24"/>
          <w:highlight w:val="none"/>
          <w:u w:val="single"/>
        </w:rPr>
        <w:t>年</w:t>
      </w:r>
      <w:r>
        <w:rPr>
          <w:rFonts w:hint="eastAsia" w:ascii="宋体" w:hAnsi="宋体" w:cs="宋体"/>
          <w:sz w:val="24"/>
          <w:szCs w:val="24"/>
          <w:highlight w:val="none"/>
          <w:u w:val="single"/>
          <w:lang w:val="en-US" w:eastAsia="zh-CN"/>
        </w:rPr>
        <w:t>04</w:t>
      </w:r>
      <w:r>
        <w:rPr>
          <w:rFonts w:hint="eastAsia" w:ascii="宋体" w:hAnsi="宋体" w:cs="宋体"/>
          <w:sz w:val="24"/>
          <w:szCs w:val="24"/>
          <w:highlight w:val="none"/>
          <w:u w:val="single"/>
        </w:rPr>
        <w:t>月</w:t>
      </w:r>
      <w:r>
        <w:rPr>
          <w:rFonts w:hint="eastAsia" w:ascii="宋体" w:hAnsi="宋体" w:cs="宋体"/>
          <w:sz w:val="24"/>
          <w:szCs w:val="24"/>
          <w:highlight w:val="none"/>
          <w:u w:val="single"/>
          <w:lang w:val="en-US" w:eastAsia="zh-CN"/>
        </w:rPr>
        <w:t>14</w:t>
      </w:r>
      <w:r>
        <w:rPr>
          <w:rFonts w:hint="eastAsia" w:ascii="宋体" w:hAnsi="宋体" w:cs="宋体"/>
          <w:sz w:val="24"/>
          <w:szCs w:val="24"/>
          <w:highlight w:val="none"/>
          <w:u w:val="single"/>
        </w:rPr>
        <w:t>日 09:</w:t>
      </w:r>
      <w:r>
        <w:rPr>
          <w:rFonts w:hint="eastAsia" w:ascii="宋体" w:hAnsi="宋体" w:cs="宋体"/>
          <w:sz w:val="24"/>
          <w:szCs w:val="24"/>
          <w:highlight w:val="none"/>
          <w:u w:val="single"/>
          <w:lang w:val="en-US" w:eastAsia="zh-CN"/>
        </w:rPr>
        <w:t>0</w:t>
      </w:r>
      <w:r>
        <w:rPr>
          <w:rFonts w:hint="eastAsia" w:ascii="宋体" w:hAnsi="宋体" w:cs="宋体"/>
          <w:sz w:val="24"/>
          <w:szCs w:val="24"/>
          <w:highlight w:val="none"/>
          <w:u w:val="single"/>
        </w:rPr>
        <w:t xml:space="preserve">0 </w:t>
      </w:r>
      <w:r>
        <w:rPr>
          <w:rFonts w:hint="eastAsia" w:ascii="宋体" w:hAnsi="宋体" w:cs="宋体"/>
          <w:sz w:val="24"/>
          <w:szCs w:val="24"/>
          <w:highlight w:val="none"/>
        </w:rPr>
        <w:t>（北京时间）</w:t>
      </w:r>
      <w:r>
        <w:rPr>
          <w:rFonts w:hint="eastAsia" w:ascii="宋体" w:hAnsi="宋体" w:cs="宋体"/>
          <w:sz w:val="24"/>
          <w:szCs w:val="24"/>
          <w:highlight w:val="none"/>
          <w:lang w:eastAsia="zh-CN"/>
        </w:rPr>
        <w:t>；</w:t>
      </w:r>
    </w:p>
    <w:p>
      <w:pPr>
        <w:numPr>
          <w:ilvl w:val="0"/>
          <w:numId w:val="0"/>
        </w:numPr>
        <w:spacing w:line="490" w:lineRule="exact"/>
        <w:ind w:firstLine="480" w:firstLineChars="200"/>
        <w:rPr>
          <w:rFonts w:hint="eastAsia" w:eastAsia="宋体"/>
          <w:b/>
          <w:sz w:val="28"/>
          <w:lang w:eastAsia="zh-CN"/>
        </w:rPr>
      </w:pPr>
      <w:r>
        <w:rPr>
          <w:rFonts w:hint="eastAsia" w:ascii="宋体" w:hAnsi="宋体" w:cs="宋体"/>
          <w:sz w:val="24"/>
          <w:szCs w:val="24"/>
          <w:highlight w:val="none"/>
          <w:lang w:eastAsia="zh-CN"/>
        </w:rPr>
        <w:t>地点：</w:t>
      </w:r>
      <w:r>
        <w:rPr>
          <w:rFonts w:hint="eastAsia" w:ascii="宋体" w:hAnsi="宋体" w:cs="宋体"/>
          <w:b w:val="0"/>
          <w:bCs/>
          <w:sz w:val="24"/>
          <w:szCs w:val="24"/>
        </w:rPr>
        <w:t>福建省厦门市湖里区高崎南五路222号航空商务广场2号楼10层开标室</w:t>
      </w:r>
      <w:r>
        <w:rPr>
          <w:rFonts w:hint="eastAsia" w:ascii="宋体" w:hAnsi="宋体" w:cs="宋体"/>
          <w:b w:val="0"/>
          <w:bCs/>
          <w:sz w:val="24"/>
          <w:szCs w:val="24"/>
          <w:lang w:eastAsia="zh-CN"/>
        </w:rPr>
        <w:t>。</w:t>
      </w:r>
    </w:p>
    <w:p>
      <w:pPr>
        <w:numPr>
          <w:ilvl w:val="0"/>
          <w:numId w:val="0"/>
        </w:numPr>
        <w:spacing w:line="490" w:lineRule="exact"/>
        <w:ind w:firstLine="482" w:firstLineChars="200"/>
        <w:rPr>
          <w:rFonts w:hint="eastAsia" w:ascii="宋体" w:hAnsi="宋体" w:cs="宋体"/>
          <w:sz w:val="24"/>
        </w:rPr>
      </w:pPr>
      <w:r>
        <w:rPr>
          <w:rFonts w:hint="eastAsia" w:ascii="宋体" w:hAnsi="宋体" w:eastAsia="宋体" w:cs="宋体"/>
          <w:b/>
          <w:bCs/>
          <w:sz w:val="24"/>
          <w:szCs w:val="24"/>
          <w:highlight w:val="none"/>
          <w:lang w:val="en-US" w:eastAsia="zh-CN"/>
        </w:rPr>
        <w:t>9、</w:t>
      </w:r>
      <w:r>
        <w:rPr>
          <w:rFonts w:hint="eastAsia" w:ascii="宋体" w:hAnsi="宋体" w:cs="宋体"/>
          <w:sz w:val="24"/>
        </w:rPr>
        <w:t>磋商响应</w:t>
      </w:r>
      <w:r>
        <w:rPr>
          <w:rFonts w:hint="eastAsia" w:ascii="宋体" w:hAnsi="宋体" w:cs="宋体"/>
          <w:sz w:val="24"/>
          <w:lang w:eastAsia="zh-CN"/>
        </w:rPr>
        <w:t>供应商</w:t>
      </w:r>
      <w:r>
        <w:rPr>
          <w:rFonts w:hint="eastAsia" w:ascii="宋体" w:hAnsi="宋体" w:cs="宋体"/>
          <w:sz w:val="24"/>
        </w:rPr>
        <w:t>对本次磋商活动事项如有疑问的，以书面形式与采购代理机构联系。以上信息如有变更，本项目采购代理机构会</w:t>
      </w:r>
      <w:r>
        <w:rPr>
          <w:rFonts w:hint="eastAsia" w:ascii="宋体" w:hAnsi="宋体" w:cs="宋体"/>
          <w:sz w:val="24"/>
          <w:highlight w:val="none"/>
        </w:rPr>
        <w:t>通过</w:t>
      </w:r>
      <w:r>
        <w:rPr>
          <w:rFonts w:hint="eastAsia" w:ascii="宋体" w:hAnsi="宋体" w:cs="宋体"/>
          <w:sz w:val="24"/>
          <w:highlight w:val="none"/>
          <w:u w:val="single"/>
        </w:rPr>
        <w:t>厦门市交通运输局（http://jt.xm.gov.cn/）</w:t>
      </w:r>
      <w:r>
        <w:rPr>
          <w:rFonts w:hint="eastAsia" w:ascii="宋体" w:hAnsi="宋体" w:cs="宋体"/>
          <w:sz w:val="24"/>
          <w:highlight w:val="none"/>
        </w:rPr>
        <w:t>或以书面形式通知等信息发布媒体通</w:t>
      </w:r>
      <w:r>
        <w:rPr>
          <w:rFonts w:hint="eastAsia" w:ascii="宋体" w:hAnsi="宋体" w:cs="宋体"/>
          <w:sz w:val="24"/>
        </w:rPr>
        <w:t>知，请磋商响应</w:t>
      </w:r>
      <w:r>
        <w:rPr>
          <w:rFonts w:hint="eastAsia" w:ascii="宋体" w:hAnsi="宋体" w:cs="宋体"/>
          <w:sz w:val="24"/>
          <w:lang w:eastAsia="zh-CN"/>
        </w:rPr>
        <w:t>供应商</w:t>
      </w:r>
      <w:r>
        <w:rPr>
          <w:rFonts w:hint="eastAsia" w:ascii="宋体" w:hAnsi="宋体" w:cs="宋体"/>
          <w:sz w:val="24"/>
        </w:rPr>
        <w:t>关注。</w:t>
      </w:r>
    </w:p>
    <w:p>
      <w:pPr>
        <w:pStyle w:val="7"/>
        <w:rPr>
          <w:rFonts w:hint="eastAsia"/>
          <w:lang w:val="en-US" w:eastAsia="zh-CN"/>
        </w:rPr>
      </w:pPr>
      <w:bookmarkStart w:id="1" w:name="_GoBack"/>
      <w:bookmarkEnd w:id="1"/>
    </w:p>
    <w:p>
      <w:pPr>
        <w:adjustRightInd w:val="0"/>
        <w:snapToGrid w:val="0"/>
        <w:spacing w:line="490" w:lineRule="exact"/>
        <w:ind w:left="424" w:leftChars="202"/>
        <w:rPr>
          <w:rFonts w:hint="eastAsia" w:ascii="宋体" w:hAnsi="宋体" w:cs="宋体"/>
          <w:bCs/>
          <w:sz w:val="24"/>
          <w:szCs w:val="24"/>
        </w:rPr>
      </w:pPr>
      <w:r>
        <w:rPr>
          <w:rFonts w:hint="eastAsia" w:ascii="宋体" w:hAnsi="宋体" w:eastAsia="宋体" w:cs="宋体"/>
          <w:b/>
          <w:bCs/>
          <w:sz w:val="24"/>
          <w:szCs w:val="24"/>
          <w:highlight w:val="none"/>
          <w:lang w:val="en-US" w:eastAsia="zh-CN"/>
        </w:rPr>
        <w:t>10、</w:t>
      </w:r>
      <w:r>
        <w:rPr>
          <w:rFonts w:hint="eastAsia" w:ascii="宋体" w:hAnsi="宋体" w:cs="宋体"/>
          <w:b/>
          <w:bCs w:val="0"/>
          <w:sz w:val="24"/>
          <w:szCs w:val="24"/>
        </w:rPr>
        <w:t>采购人</w:t>
      </w:r>
      <w:r>
        <w:rPr>
          <w:rFonts w:hint="eastAsia" w:ascii="宋体" w:hAnsi="宋体" w:cs="宋体"/>
          <w:bCs/>
          <w:sz w:val="24"/>
          <w:szCs w:val="24"/>
        </w:rPr>
        <w:t>：厦门市公路事业发展中心</w:t>
      </w:r>
    </w:p>
    <w:p>
      <w:pPr>
        <w:adjustRightInd w:val="0"/>
        <w:snapToGrid w:val="0"/>
        <w:spacing w:line="490" w:lineRule="exact"/>
        <w:ind w:left="424" w:leftChars="202"/>
        <w:rPr>
          <w:rFonts w:hint="eastAsia" w:ascii="宋体" w:hAnsi="宋体" w:cs="宋体"/>
          <w:bCs/>
          <w:sz w:val="24"/>
          <w:szCs w:val="24"/>
          <w:lang w:eastAsia="zh-CN"/>
        </w:rPr>
      </w:pPr>
      <w:r>
        <w:rPr>
          <w:rFonts w:hint="eastAsia" w:ascii="宋体" w:hAnsi="宋体" w:cs="宋体"/>
          <w:bCs/>
          <w:sz w:val="24"/>
          <w:szCs w:val="24"/>
          <w:lang w:eastAsia="zh-CN"/>
        </w:rPr>
        <w:t>联系人：谢工</w:t>
      </w:r>
    </w:p>
    <w:p>
      <w:pPr>
        <w:adjustRightInd w:val="0"/>
        <w:snapToGrid w:val="0"/>
        <w:spacing w:line="490" w:lineRule="exact"/>
        <w:ind w:left="424" w:leftChars="202"/>
        <w:rPr>
          <w:rFonts w:hint="default" w:ascii="宋体" w:hAnsi="宋体" w:cs="宋体"/>
          <w:bCs/>
          <w:sz w:val="24"/>
          <w:szCs w:val="24"/>
          <w:highlight w:val="none"/>
          <w:lang w:val="en-US" w:eastAsia="zh-CN"/>
        </w:rPr>
      </w:pPr>
      <w:r>
        <w:rPr>
          <w:rFonts w:hint="eastAsia" w:ascii="宋体" w:hAnsi="宋体" w:cs="宋体"/>
          <w:bCs/>
          <w:sz w:val="24"/>
          <w:szCs w:val="24"/>
          <w:highlight w:val="none"/>
          <w:lang w:eastAsia="zh-CN"/>
        </w:rPr>
        <w:t>电</w:t>
      </w:r>
      <w:r>
        <w:rPr>
          <w:rFonts w:hint="eastAsia" w:ascii="宋体" w:hAnsi="宋体" w:eastAsia="宋体" w:cs="宋体"/>
          <w:bCs/>
          <w:sz w:val="24"/>
          <w:szCs w:val="24"/>
          <w:highlight w:val="none"/>
          <w:lang w:eastAsia="zh-CN"/>
        </w:rPr>
        <w:t>话：</w:t>
      </w:r>
      <w:r>
        <w:rPr>
          <w:rFonts w:hint="eastAsia" w:ascii="宋体" w:hAnsi="宋体" w:eastAsia="宋体" w:cs="宋体"/>
          <w:bCs/>
          <w:sz w:val="24"/>
          <w:szCs w:val="24"/>
          <w:highlight w:val="none"/>
          <w:lang w:val="en-US" w:eastAsia="zh-CN"/>
        </w:rPr>
        <w:t>0592-8269994</w:t>
      </w:r>
    </w:p>
    <w:p>
      <w:pPr>
        <w:numPr>
          <w:ilvl w:val="0"/>
          <w:numId w:val="0"/>
        </w:numPr>
        <w:spacing w:line="490" w:lineRule="exact"/>
        <w:ind w:firstLine="480" w:firstLineChars="200"/>
        <w:rPr>
          <w:rFonts w:hint="eastAsia" w:ascii="宋体" w:hAnsi="宋体" w:cs="宋体"/>
          <w:bCs/>
          <w:sz w:val="24"/>
          <w:szCs w:val="24"/>
        </w:rPr>
      </w:pPr>
      <w:r>
        <w:rPr>
          <w:rFonts w:hint="eastAsia" w:ascii="宋体" w:hAnsi="宋体" w:cs="宋体"/>
          <w:bCs/>
          <w:sz w:val="24"/>
          <w:szCs w:val="24"/>
        </w:rPr>
        <w:t>采购人地址：厦门市莲前西路281号20楼</w:t>
      </w:r>
    </w:p>
    <w:p>
      <w:pPr>
        <w:numPr>
          <w:ilvl w:val="0"/>
          <w:numId w:val="0"/>
        </w:numPr>
        <w:spacing w:line="490" w:lineRule="exact"/>
        <w:ind w:firstLine="480" w:firstLineChars="200"/>
        <w:rPr>
          <w:rFonts w:hint="eastAsia" w:ascii="宋体" w:hAnsi="宋体" w:cs="宋体"/>
          <w:bCs/>
          <w:sz w:val="24"/>
          <w:szCs w:val="24"/>
        </w:rPr>
      </w:pPr>
    </w:p>
    <w:p>
      <w:pPr>
        <w:adjustRightInd w:val="0"/>
        <w:snapToGrid w:val="0"/>
        <w:spacing w:line="490" w:lineRule="exact"/>
        <w:ind w:left="424" w:leftChars="202"/>
        <w:rPr>
          <w:rFonts w:hint="eastAsia" w:ascii="宋体" w:hAnsi="宋体" w:cs="宋体"/>
          <w:bCs/>
          <w:sz w:val="24"/>
          <w:szCs w:val="24"/>
        </w:rPr>
      </w:pPr>
      <w:r>
        <w:rPr>
          <w:rFonts w:hint="eastAsia" w:ascii="宋体" w:hAnsi="宋体" w:eastAsia="宋体" w:cs="宋体"/>
          <w:b/>
          <w:bCs w:val="0"/>
          <w:sz w:val="24"/>
          <w:szCs w:val="24"/>
          <w:lang w:val="en-US" w:eastAsia="zh-CN"/>
        </w:rPr>
        <w:t>11、</w:t>
      </w:r>
      <w:r>
        <w:rPr>
          <w:rFonts w:hint="eastAsia" w:ascii="宋体" w:hAnsi="宋体" w:eastAsia="宋体" w:cs="宋体"/>
          <w:b/>
          <w:bCs w:val="0"/>
          <w:sz w:val="24"/>
          <w:szCs w:val="24"/>
        </w:rPr>
        <w:t>采购代理机构：</w:t>
      </w:r>
      <w:r>
        <w:rPr>
          <w:rFonts w:hint="eastAsia" w:ascii="宋体" w:hAnsi="宋体" w:cs="宋体"/>
          <w:bCs/>
          <w:sz w:val="24"/>
          <w:szCs w:val="24"/>
        </w:rPr>
        <w:t>天和国咨控股集团有限公司</w:t>
      </w:r>
    </w:p>
    <w:p>
      <w:pPr>
        <w:adjustRightInd w:val="0"/>
        <w:snapToGrid w:val="0"/>
        <w:spacing w:line="490" w:lineRule="exact"/>
        <w:ind w:left="424" w:leftChars="202"/>
        <w:rPr>
          <w:rFonts w:hint="eastAsia" w:ascii="宋体" w:hAnsi="宋体" w:eastAsia="宋体" w:cs="宋体"/>
          <w:bCs/>
          <w:sz w:val="24"/>
          <w:szCs w:val="24"/>
        </w:rPr>
      </w:pPr>
      <w:r>
        <w:rPr>
          <w:rFonts w:hint="eastAsia" w:ascii="宋体" w:hAnsi="宋体" w:eastAsia="宋体" w:cs="宋体"/>
          <w:bCs/>
          <w:sz w:val="24"/>
          <w:szCs w:val="24"/>
        </w:rPr>
        <w:t>联系人：吴文珏、高帅</w:t>
      </w:r>
    </w:p>
    <w:p>
      <w:pPr>
        <w:adjustRightInd w:val="0"/>
        <w:snapToGrid w:val="0"/>
        <w:spacing w:line="490" w:lineRule="exact"/>
        <w:ind w:left="424" w:leftChars="202"/>
        <w:rPr>
          <w:rFonts w:hint="eastAsia" w:ascii="宋体" w:hAnsi="宋体" w:cs="宋体"/>
          <w:bCs/>
          <w:sz w:val="24"/>
          <w:szCs w:val="24"/>
        </w:rPr>
      </w:pPr>
      <w:r>
        <w:rPr>
          <w:rFonts w:hint="eastAsia" w:ascii="宋体" w:hAnsi="宋体" w:cs="宋体"/>
          <w:bCs/>
          <w:sz w:val="24"/>
          <w:szCs w:val="24"/>
        </w:rPr>
        <w:t>电话：0592-5138721、5138725</w:t>
      </w:r>
    </w:p>
    <w:p>
      <w:pPr>
        <w:adjustRightInd w:val="0"/>
        <w:snapToGrid w:val="0"/>
        <w:spacing w:line="490" w:lineRule="exact"/>
        <w:ind w:left="424" w:leftChars="202"/>
        <w:rPr>
          <w:rFonts w:hint="eastAsia" w:ascii="宋体" w:hAnsi="宋体" w:cs="宋体"/>
          <w:bCs/>
          <w:sz w:val="24"/>
          <w:szCs w:val="24"/>
        </w:rPr>
      </w:pPr>
      <w:r>
        <w:rPr>
          <w:rFonts w:hint="eastAsia" w:ascii="宋体" w:hAnsi="宋体" w:cs="宋体"/>
          <w:bCs/>
          <w:sz w:val="24"/>
          <w:szCs w:val="24"/>
        </w:rPr>
        <w:t>邮箱：thzbjyq@163.com</w:t>
      </w:r>
    </w:p>
    <w:p>
      <w:pPr>
        <w:numPr>
          <w:ilvl w:val="0"/>
          <w:numId w:val="0"/>
        </w:numPr>
        <w:adjustRightInd w:val="0"/>
        <w:snapToGrid w:val="0"/>
        <w:spacing w:line="490" w:lineRule="exact"/>
        <w:ind w:left="424" w:leftChars="202" w:firstLine="0" w:firstLineChars="0"/>
        <w:rPr>
          <w:rFonts w:hint="eastAsia" w:ascii="宋体" w:hAnsi="宋体" w:cs="宋体"/>
          <w:bCs/>
          <w:sz w:val="24"/>
          <w:szCs w:val="24"/>
        </w:rPr>
      </w:pPr>
      <w:r>
        <w:rPr>
          <w:rFonts w:hint="eastAsia" w:ascii="宋体" w:hAnsi="宋体" w:cs="宋体"/>
          <w:bCs/>
          <w:sz w:val="24"/>
          <w:szCs w:val="24"/>
        </w:rPr>
        <w:t>地址：厦门市湖里区高崎南五路222号之3（航空商务广场2号楼）10、11层</w:t>
      </w:r>
    </w:p>
    <w:p>
      <w:pPr>
        <w:spacing w:line="500" w:lineRule="exact"/>
        <w:ind w:firstLine="480"/>
        <w:rPr>
          <w:rFonts w:ascii="宋体" w:hAnsi="宋体" w:cs="宋体"/>
          <w:b/>
          <w:bCs/>
          <w:sz w:val="24"/>
        </w:rPr>
      </w:pPr>
      <w:r>
        <w:rPr>
          <w:rFonts w:hint="eastAsia" w:ascii="宋体" w:hAnsi="宋体" w:cs="宋体"/>
          <w:b/>
          <w:bCs/>
          <w:sz w:val="24"/>
          <w:lang w:val="en-US" w:eastAsia="zh-CN"/>
        </w:rPr>
        <w:t>12</w:t>
      </w:r>
      <w:r>
        <w:rPr>
          <w:rFonts w:hint="eastAsia" w:ascii="宋体" w:hAnsi="宋体" w:cs="宋体"/>
          <w:b/>
          <w:bCs/>
          <w:sz w:val="24"/>
        </w:rPr>
        <w:t>、银行账户信息</w:t>
      </w:r>
    </w:p>
    <w:p>
      <w:pPr>
        <w:pStyle w:val="11"/>
        <w:spacing w:line="560" w:lineRule="exact"/>
        <w:jc w:val="center"/>
        <w:rPr>
          <w:rFonts w:hint="default" w:ascii="宋体" w:hAnsi="宋体" w:cs="宋体"/>
          <w:b/>
          <w:bCs/>
          <w:sz w:val="24"/>
          <w:szCs w:val="24"/>
        </w:rPr>
      </w:pPr>
      <w:r>
        <w:rPr>
          <w:rFonts w:hint="eastAsia" w:ascii="宋体" w:hAnsi="宋体"/>
          <w:b/>
          <w:bCs/>
          <w:sz w:val="24"/>
          <w:szCs w:val="24"/>
        </w:rPr>
        <w:t>附：采购代理服务费</w:t>
      </w:r>
      <w:r>
        <w:rPr>
          <w:rFonts w:hint="eastAsia" w:ascii="宋体" w:hAnsi="宋体"/>
          <w:b/>
          <w:bCs/>
          <w:sz w:val="24"/>
          <w:szCs w:val="24"/>
          <w:lang w:eastAsia="zh-CN"/>
        </w:rPr>
        <w:t>缴交</w:t>
      </w:r>
      <w:r>
        <w:rPr>
          <w:rFonts w:ascii="宋体" w:hAnsi="宋体" w:cs="宋体"/>
          <w:b/>
          <w:bCs/>
          <w:sz w:val="24"/>
          <w:szCs w:val="24"/>
        </w:rPr>
        <w:t>账户</w:t>
      </w:r>
    </w:p>
    <w:p>
      <w:pPr>
        <w:pStyle w:val="4"/>
        <w:rPr>
          <w:rFonts w:hint="eastAsia"/>
        </w:rPr>
      </w:pPr>
    </w:p>
    <w:tbl>
      <w:tblPr>
        <w:tblStyle w:val="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24"/>
        <w:gridCol w:w="66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324" w:type="dxa"/>
            <w:tcBorders>
              <w:tl2br w:val="single" w:color="auto" w:sz="4" w:space="0"/>
            </w:tcBorders>
            <w:noWrap w:val="0"/>
            <w:vAlign w:val="top"/>
          </w:tcPr>
          <w:p>
            <w:pPr>
              <w:spacing w:line="560" w:lineRule="exact"/>
              <w:jc w:val="right"/>
              <w:rPr>
                <w:rFonts w:ascii="宋体" w:hAnsi="宋体" w:cs="宋体"/>
                <w:sz w:val="24"/>
                <w:szCs w:val="24"/>
              </w:rPr>
            </w:pPr>
            <w:r>
              <w:rPr>
                <w:rFonts w:hint="eastAsia" w:ascii="宋体" w:hAnsi="宋体" w:cs="宋体"/>
                <w:sz w:val="24"/>
                <w:szCs w:val="24"/>
              </w:rPr>
              <w:t>账户类别</w:t>
            </w:r>
          </w:p>
          <w:p>
            <w:pPr>
              <w:spacing w:line="560" w:lineRule="exact"/>
              <w:rPr>
                <w:rFonts w:ascii="宋体" w:hAnsi="宋体" w:cs="宋体"/>
                <w:sz w:val="24"/>
                <w:szCs w:val="24"/>
              </w:rPr>
            </w:pPr>
            <w:r>
              <w:rPr>
                <w:rFonts w:hint="eastAsia" w:ascii="宋体" w:hAnsi="宋体" w:cs="宋体"/>
                <w:sz w:val="24"/>
                <w:szCs w:val="24"/>
              </w:rPr>
              <w:t>账户信息</w:t>
            </w:r>
          </w:p>
        </w:tc>
        <w:tc>
          <w:tcPr>
            <w:tcW w:w="6602" w:type="dxa"/>
            <w:noWrap w:val="0"/>
            <w:vAlign w:val="center"/>
          </w:tcPr>
          <w:p>
            <w:pPr>
              <w:spacing w:line="560" w:lineRule="exact"/>
              <w:jc w:val="center"/>
              <w:rPr>
                <w:rFonts w:ascii="宋体" w:hAnsi="宋体" w:cs="宋体"/>
                <w:sz w:val="24"/>
                <w:szCs w:val="24"/>
              </w:rPr>
            </w:pPr>
            <w:r>
              <w:rPr>
                <w:rFonts w:hint="eastAsia" w:ascii="宋体" w:hAnsi="宋体" w:cs="宋体"/>
                <w:sz w:val="24"/>
                <w:szCs w:val="24"/>
                <w:lang w:val="en-US" w:eastAsia="zh-CN"/>
              </w:rPr>
              <w:t>采购代理</w:t>
            </w:r>
            <w:r>
              <w:rPr>
                <w:rFonts w:hint="eastAsia" w:ascii="宋体" w:hAnsi="宋体" w:cs="宋体"/>
                <w:sz w:val="24"/>
                <w:szCs w:val="24"/>
              </w:rPr>
              <w:t>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2324" w:type="dxa"/>
            <w:noWrap w:val="0"/>
            <w:vAlign w:val="center"/>
          </w:tcPr>
          <w:p>
            <w:pPr>
              <w:spacing w:line="600" w:lineRule="exact"/>
              <w:jc w:val="center"/>
              <w:rPr>
                <w:rFonts w:ascii="宋体" w:hAnsi="宋体" w:cs="宋体"/>
                <w:sz w:val="24"/>
                <w:szCs w:val="24"/>
              </w:rPr>
            </w:pPr>
            <w:r>
              <w:rPr>
                <w:rFonts w:hint="eastAsia" w:ascii="宋体" w:hAnsi="宋体" w:cs="宋体"/>
                <w:spacing w:val="30"/>
                <w:kern w:val="0"/>
                <w:sz w:val="24"/>
                <w:szCs w:val="24"/>
                <w:fitText w:val="840" w:id="1062302243"/>
              </w:rPr>
              <w:t>开户</w:t>
            </w:r>
            <w:r>
              <w:rPr>
                <w:rFonts w:hint="eastAsia" w:ascii="宋体" w:hAnsi="宋体" w:cs="宋体"/>
                <w:spacing w:val="0"/>
                <w:kern w:val="0"/>
                <w:sz w:val="24"/>
                <w:szCs w:val="24"/>
                <w:fitText w:val="840" w:id="1062302243"/>
              </w:rPr>
              <w:t>行</w:t>
            </w:r>
          </w:p>
        </w:tc>
        <w:tc>
          <w:tcPr>
            <w:tcW w:w="6602" w:type="dxa"/>
            <w:noWrap w:val="0"/>
            <w:vAlign w:val="center"/>
          </w:tcPr>
          <w:p>
            <w:pPr>
              <w:spacing w:line="600" w:lineRule="exact"/>
              <w:jc w:val="center"/>
              <w:rPr>
                <w:rFonts w:ascii="宋体" w:hAnsi="宋体" w:cs="宋体"/>
                <w:sz w:val="24"/>
                <w:szCs w:val="24"/>
              </w:rPr>
            </w:pPr>
            <w:r>
              <w:rPr>
                <w:rFonts w:hint="eastAsia" w:ascii="宋体" w:hAnsi="宋体" w:cs="宋体"/>
                <w:sz w:val="24"/>
                <w:szCs w:val="24"/>
              </w:rPr>
              <w:t>厦门农村商业银行嘉禾支行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2324" w:type="dxa"/>
            <w:noWrap w:val="0"/>
            <w:vAlign w:val="center"/>
          </w:tcPr>
          <w:p>
            <w:pPr>
              <w:spacing w:line="600" w:lineRule="exact"/>
              <w:jc w:val="center"/>
              <w:rPr>
                <w:rFonts w:ascii="宋体" w:hAnsi="宋体" w:cs="宋体"/>
                <w:sz w:val="24"/>
                <w:szCs w:val="24"/>
              </w:rPr>
            </w:pPr>
            <w:r>
              <w:rPr>
                <w:rFonts w:hint="eastAsia" w:ascii="宋体" w:hAnsi="宋体" w:cs="宋体"/>
                <w:spacing w:val="180"/>
                <w:kern w:val="0"/>
                <w:sz w:val="24"/>
                <w:szCs w:val="24"/>
                <w:fitText w:val="840" w:id="325212266"/>
              </w:rPr>
              <w:t>账</w:t>
            </w:r>
            <w:r>
              <w:rPr>
                <w:rFonts w:hint="eastAsia" w:ascii="宋体" w:hAnsi="宋体" w:cs="宋体"/>
                <w:spacing w:val="0"/>
                <w:kern w:val="0"/>
                <w:sz w:val="24"/>
                <w:szCs w:val="24"/>
                <w:fitText w:val="840" w:id="325212266"/>
              </w:rPr>
              <w:t>号</w:t>
            </w:r>
          </w:p>
        </w:tc>
        <w:tc>
          <w:tcPr>
            <w:tcW w:w="6602" w:type="dxa"/>
            <w:noWrap w:val="0"/>
            <w:vAlign w:val="center"/>
          </w:tcPr>
          <w:p>
            <w:pPr>
              <w:spacing w:line="600" w:lineRule="exact"/>
              <w:jc w:val="center"/>
              <w:rPr>
                <w:rFonts w:ascii="宋体" w:hAnsi="宋体" w:cs="宋体"/>
                <w:sz w:val="24"/>
                <w:szCs w:val="24"/>
              </w:rPr>
            </w:pPr>
            <w:r>
              <w:rPr>
                <w:rFonts w:hint="eastAsia" w:ascii="宋体" w:hAnsi="宋体" w:cs="宋体"/>
                <w:sz w:val="24"/>
                <w:szCs w:val="24"/>
              </w:rPr>
              <w:t>9020110020010000018511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2324" w:type="dxa"/>
            <w:noWrap w:val="0"/>
            <w:vAlign w:val="center"/>
          </w:tcPr>
          <w:p>
            <w:pPr>
              <w:spacing w:line="600" w:lineRule="exact"/>
              <w:jc w:val="center"/>
              <w:rPr>
                <w:rFonts w:ascii="宋体" w:hAnsi="宋体" w:cs="宋体"/>
                <w:sz w:val="24"/>
                <w:szCs w:val="24"/>
              </w:rPr>
            </w:pPr>
            <w:r>
              <w:rPr>
                <w:rFonts w:hint="eastAsia" w:ascii="宋体" w:hAnsi="宋体" w:cs="宋体"/>
                <w:sz w:val="24"/>
                <w:szCs w:val="24"/>
              </w:rPr>
              <w:t>收款单位</w:t>
            </w:r>
          </w:p>
        </w:tc>
        <w:tc>
          <w:tcPr>
            <w:tcW w:w="6602" w:type="dxa"/>
            <w:noWrap w:val="0"/>
            <w:vAlign w:val="center"/>
          </w:tcPr>
          <w:p>
            <w:pPr>
              <w:spacing w:line="600" w:lineRule="exact"/>
              <w:jc w:val="center"/>
              <w:rPr>
                <w:rFonts w:ascii="宋体" w:hAnsi="宋体" w:cs="宋体"/>
                <w:sz w:val="24"/>
                <w:szCs w:val="24"/>
              </w:rPr>
            </w:pPr>
            <w:r>
              <w:rPr>
                <w:rFonts w:hint="eastAsia" w:ascii="宋体" w:hAnsi="宋体" w:cs="宋体"/>
                <w:sz w:val="24"/>
                <w:szCs w:val="24"/>
              </w:rPr>
              <w:t>天和国咨控股集团有限公司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8926" w:type="dxa"/>
            <w:gridSpan w:val="2"/>
            <w:noWrap w:val="0"/>
            <w:vAlign w:val="top"/>
          </w:tcPr>
          <w:p>
            <w:pPr>
              <w:spacing w:line="560" w:lineRule="exact"/>
              <w:jc w:val="left"/>
              <w:rPr>
                <w:rFonts w:ascii="宋体" w:hAnsi="宋体" w:cs="宋体"/>
                <w:sz w:val="24"/>
                <w:szCs w:val="24"/>
              </w:rPr>
            </w:pPr>
            <w:r>
              <w:rPr>
                <w:rFonts w:hint="eastAsia" w:ascii="宋体" w:hAnsi="宋体" w:cs="宋体"/>
                <w:sz w:val="24"/>
                <w:szCs w:val="24"/>
                <w:lang w:eastAsia="zh-CN"/>
              </w:rPr>
              <w:t>中标</w:t>
            </w:r>
            <w:r>
              <w:rPr>
                <w:rFonts w:hint="eastAsia" w:ascii="宋体" w:hAnsi="宋体" w:cs="宋体"/>
                <w:sz w:val="24"/>
                <w:szCs w:val="24"/>
              </w:rPr>
              <w:t>人应认真核对账户信息，将采购代理服务费汇入以上账户，并自行承担因汇错采购代理服务费而产生的一切后果。</w:t>
            </w:r>
          </w:p>
        </w:tc>
      </w:tr>
    </w:tbl>
    <w:p>
      <w:pPr>
        <w:spacing w:before="360" w:beforeLines="150" w:after="120" w:afterLines="50" w:line="360" w:lineRule="auto"/>
        <w:jc w:val="center"/>
        <w:rPr>
          <w:rFonts w:hint="eastAsia" w:ascii="宋体" w:hAnsi="宋体"/>
          <w:b/>
          <w:bCs/>
          <w:sz w:val="24"/>
          <w:szCs w:val="24"/>
        </w:rPr>
      </w:pPr>
    </w:p>
    <w:p>
      <w:pPr>
        <w:spacing w:before="360" w:beforeLines="150" w:after="120" w:afterLines="50" w:line="360" w:lineRule="auto"/>
        <w:jc w:val="center"/>
        <w:rPr>
          <w:rFonts w:ascii="宋体" w:hAnsi="宋体"/>
          <w:b/>
          <w:bCs/>
          <w:sz w:val="24"/>
          <w:szCs w:val="24"/>
        </w:rPr>
      </w:pPr>
      <w:r>
        <w:rPr>
          <w:rFonts w:hint="eastAsia" w:ascii="宋体" w:hAnsi="宋体"/>
          <w:b/>
          <w:bCs/>
          <w:sz w:val="24"/>
          <w:szCs w:val="24"/>
        </w:rPr>
        <w:t>附：采购项目一览表</w:t>
      </w:r>
    </w:p>
    <w:tbl>
      <w:tblPr>
        <w:tblStyle w:val="8"/>
        <w:tblW w:w="9318" w:type="dxa"/>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2294"/>
        <w:gridCol w:w="2100"/>
        <w:gridCol w:w="2666"/>
        <w:gridCol w:w="1217"/>
        <w:gridCol w:w="104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rPr>
          <w:trHeight w:val="808" w:hRule="atLeast"/>
          <w:jc w:val="center"/>
        </w:trPr>
        <w:tc>
          <w:tcPr>
            <w:tcW w:w="2294" w:type="dxa"/>
            <w:noWrap w:val="0"/>
            <w:vAlign w:val="center"/>
          </w:tcPr>
          <w:p>
            <w:pPr>
              <w:spacing w:line="276" w:lineRule="auto"/>
              <w:jc w:val="center"/>
              <w:rPr>
                <w:b/>
                <w:sz w:val="24"/>
                <w:szCs w:val="24"/>
              </w:rPr>
            </w:pPr>
            <w:r>
              <w:rPr>
                <w:rFonts w:hint="eastAsia"/>
                <w:b/>
                <w:sz w:val="24"/>
                <w:szCs w:val="24"/>
              </w:rPr>
              <w:t>项目名称</w:t>
            </w:r>
          </w:p>
        </w:tc>
        <w:tc>
          <w:tcPr>
            <w:tcW w:w="2100" w:type="dxa"/>
            <w:noWrap w:val="0"/>
            <w:vAlign w:val="center"/>
          </w:tcPr>
          <w:p>
            <w:pPr>
              <w:spacing w:line="276" w:lineRule="auto"/>
              <w:jc w:val="center"/>
              <w:rPr>
                <w:b/>
                <w:sz w:val="24"/>
                <w:szCs w:val="24"/>
              </w:rPr>
            </w:pPr>
            <w:r>
              <w:rPr>
                <w:rFonts w:hint="eastAsia"/>
                <w:b/>
                <w:sz w:val="24"/>
                <w:szCs w:val="24"/>
              </w:rPr>
              <w:t>服务要求</w:t>
            </w:r>
          </w:p>
        </w:tc>
        <w:tc>
          <w:tcPr>
            <w:tcW w:w="2666" w:type="dxa"/>
            <w:noWrap w:val="0"/>
            <w:vAlign w:val="center"/>
          </w:tcPr>
          <w:p>
            <w:pPr>
              <w:spacing w:line="276" w:lineRule="auto"/>
              <w:jc w:val="center"/>
              <w:rPr>
                <w:rFonts w:hint="eastAsia" w:eastAsia="宋体"/>
                <w:b/>
                <w:sz w:val="24"/>
                <w:szCs w:val="24"/>
                <w:lang w:eastAsia="zh-CN"/>
              </w:rPr>
            </w:pPr>
            <w:r>
              <w:rPr>
                <w:rFonts w:hint="eastAsia"/>
                <w:b/>
                <w:sz w:val="24"/>
                <w:szCs w:val="24"/>
                <w:lang w:eastAsia="zh-CN"/>
              </w:rPr>
              <w:t>设计周期</w:t>
            </w:r>
          </w:p>
        </w:tc>
        <w:tc>
          <w:tcPr>
            <w:tcW w:w="1217" w:type="dxa"/>
            <w:noWrap w:val="0"/>
            <w:vAlign w:val="center"/>
          </w:tcPr>
          <w:p>
            <w:pPr>
              <w:spacing w:line="276" w:lineRule="auto"/>
              <w:jc w:val="center"/>
              <w:rPr>
                <w:b/>
                <w:sz w:val="24"/>
                <w:szCs w:val="24"/>
              </w:rPr>
            </w:pPr>
            <w:r>
              <w:rPr>
                <w:rFonts w:hint="eastAsia"/>
                <w:b/>
                <w:sz w:val="24"/>
                <w:szCs w:val="24"/>
                <w:highlight w:val="none"/>
              </w:rPr>
              <w:t>最高限价（万元）</w:t>
            </w:r>
          </w:p>
        </w:tc>
        <w:tc>
          <w:tcPr>
            <w:tcW w:w="1041" w:type="dxa"/>
            <w:noWrap w:val="0"/>
            <w:vAlign w:val="center"/>
          </w:tcPr>
          <w:p>
            <w:pPr>
              <w:spacing w:line="276" w:lineRule="auto"/>
              <w:jc w:val="center"/>
              <w:rPr>
                <w:b/>
                <w:sz w:val="24"/>
                <w:szCs w:val="24"/>
              </w:rPr>
            </w:pPr>
            <w:r>
              <w:rPr>
                <w:rFonts w:hint="eastAsia"/>
                <w:b/>
                <w:sz w:val="24"/>
                <w:szCs w:val="24"/>
                <w:lang w:eastAsia="zh-CN"/>
              </w:rPr>
              <w:t>磋商</w:t>
            </w:r>
            <w:r>
              <w:rPr>
                <w:rFonts w:hint="eastAsia"/>
                <w:b/>
                <w:sz w:val="24"/>
                <w:szCs w:val="24"/>
              </w:rPr>
              <w:t>保证金</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2750" w:hRule="atLeast"/>
          <w:jc w:val="center"/>
        </w:trPr>
        <w:tc>
          <w:tcPr>
            <w:tcW w:w="2294" w:type="dxa"/>
            <w:noWrap w:val="0"/>
            <w:vAlign w:val="center"/>
          </w:tcPr>
          <w:p>
            <w:pPr>
              <w:spacing w:line="276" w:lineRule="auto"/>
              <w:jc w:val="center"/>
              <w:rPr>
                <w:sz w:val="24"/>
                <w:szCs w:val="24"/>
              </w:rPr>
            </w:pPr>
            <w:r>
              <w:rPr>
                <w:rFonts w:hint="eastAsia"/>
                <w:sz w:val="24"/>
                <w:szCs w:val="24"/>
              </w:rPr>
              <w:t>厦门市车辆路面动态检测技术监控系统一期工程（设计）</w:t>
            </w:r>
          </w:p>
        </w:tc>
        <w:tc>
          <w:tcPr>
            <w:tcW w:w="2100" w:type="dxa"/>
            <w:noWrap w:val="0"/>
            <w:vAlign w:val="center"/>
          </w:tcPr>
          <w:p>
            <w:pPr>
              <w:spacing w:line="276" w:lineRule="auto"/>
              <w:jc w:val="center"/>
              <w:rPr>
                <w:sz w:val="24"/>
                <w:szCs w:val="24"/>
              </w:rPr>
            </w:pPr>
            <w:r>
              <w:rPr>
                <w:rFonts w:hint="eastAsia"/>
                <w:sz w:val="24"/>
                <w:szCs w:val="24"/>
              </w:rPr>
              <w:t>详见竞争性磋商文件第三章“</w:t>
            </w:r>
            <w:r>
              <w:rPr>
                <w:rFonts w:hint="eastAsia"/>
                <w:sz w:val="24"/>
                <w:szCs w:val="24"/>
                <w:highlight w:val="none"/>
                <w:lang w:eastAsia="zh-CN"/>
              </w:rPr>
              <w:t>采购</w:t>
            </w:r>
            <w:r>
              <w:rPr>
                <w:rFonts w:hint="eastAsia"/>
                <w:sz w:val="24"/>
                <w:szCs w:val="24"/>
                <w:highlight w:val="none"/>
              </w:rPr>
              <w:t>内容及要求”</w:t>
            </w:r>
          </w:p>
        </w:tc>
        <w:tc>
          <w:tcPr>
            <w:tcW w:w="2666" w:type="dxa"/>
            <w:noWrap w:val="0"/>
            <w:vAlign w:val="center"/>
          </w:tcPr>
          <w:p>
            <w:pPr>
              <w:spacing w:line="276" w:lineRule="auto"/>
              <w:jc w:val="left"/>
              <w:rPr>
                <w:rFonts w:hint="eastAsia"/>
                <w:sz w:val="24"/>
                <w:szCs w:val="24"/>
              </w:rPr>
            </w:pPr>
            <w:r>
              <w:rPr>
                <w:rFonts w:hint="eastAsia"/>
                <w:sz w:val="24"/>
                <w:szCs w:val="24"/>
              </w:rPr>
              <w:t>合同生效之日起</w:t>
            </w:r>
            <w:r>
              <w:rPr>
                <w:rFonts w:hint="eastAsia"/>
                <w:sz w:val="24"/>
                <w:szCs w:val="24"/>
                <w:lang w:val="en-US" w:eastAsia="zh-CN"/>
              </w:rPr>
              <w:t>80</w:t>
            </w:r>
            <w:r>
              <w:rPr>
                <w:rFonts w:hint="eastAsia"/>
                <w:sz w:val="24"/>
                <w:szCs w:val="24"/>
              </w:rPr>
              <w:t>日历天，具体为：</w:t>
            </w:r>
          </w:p>
          <w:p>
            <w:pPr>
              <w:spacing w:line="276" w:lineRule="auto"/>
              <w:jc w:val="left"/>
              <w:rPr>
                <w:rFonts w:hint="eastAsia"/>
                <w:sz w:val="24"/>
                <w:szCs w:val="24"/>
                <w:lang w:eastAsia="zh-CN"/>
              </w:rPr>
            </w:pPr>
            <w:r>
              <w:rPr>
                <w:rFonts w:hint="eastAsia"/>
                <w:sz w:val="24"/>
                <w:szCs w:val="24"/>
              </w:rPr>
              <w:t>初步设计：</w:t>
            </w:r>
            <w:r>
              <w:rPr>
                <w:rFonts w:hint="eastAsia"/>
                <w:sz w:val="24"/>
                <w:szCs w:val="24"/>
                <w:lang w:val="en-US" w:eastAsia="zh-CN"/>
              </w:rPr>
              <w:t>30</w:t>
            </w:r>
            <w:r>
              <w:rPr>
                <w:rFonts w:hint="eastAsia"/>
                <w:sz w:val="24"/>
                <w:szCs w:val="24"/>
              </w:rPr>
              <w:t>日历天</w:t>
            </w:r>
            <w:r>
              <w:rPr>
                <w:rFonts w:hint="eastAsia"/>
                <w:sz w:val="24"/>
                <w:szCs w:val="24"/>
                <w:lang w:eastAsia="zh-CN"/>
              </w:rPr>
              <w:t>；</w:t>
            </w:r>
          </w:p>
          <w:p>
            <w:pPr>
              <w:spacing w:line="276" w:lineRule="auto"/>
              <w:jc w:val="left"/>
              <w:rPr>
                <w:rFonts w:hint="eastAsia"/>
                <w:sz w:val="24"/>
                <w:szCs w:val="24"/>
                <w:lang w:eastAsia="zh-CN"/>
              </w:rPr>
            </w:pPr>
            <w:r>
              <w:rPr>
                <w:rFonts w:hint="eastAsia"/>
                <w:sz w:val="24"/>
                <w:szCs w:val="24"/>
                <w:lang w:eastAsia="zh-CN"/>
              </w:rPr>
              <w:t>施工图设计：50日历日。</w:t>
            </w:r>
          </w:p>
        </w:tc>
        <w:tc>
          <w:tcPr>
            <w:tcW w:w="1217" w:type="dxa"/>
            <w:noWrap w:val="0"/>
            <w:vAlign w:val="center"/>
          </w:tcPr>
          <w:p>
            <w:pPr>
              <w:spacing w:line="276" w:lineRule="auto"/>
              <w:jc w:val="center"/>
              <w:rPr>
                <w:sz w:val="24"/>
                <w:szCs w:val="24"/>
              </w:rPr>
            </w:pPr>
            <w:r>
              <w:rPr>
                <w:rFonts w:hint="eastAsia" w:ascii="宋体" w:hAnsi="宋体" w:eastAsia="宋体" w:cs="宋体"/>
                <w:sz w:val="24"/>
                <w:szCs w:val="24"/>
              </w:rPr>
              <w:t>94.5885</w:t>
            </w:r>
          </w:p>
        </w:tc>
        <w:tc>
          <w:tcPr>
            <w:tcW w:w="1041" w:type="dxa"/>
            <w:noWrap w:val="0"/>
            <w:vAlign w:val="center"/>
          </w:tcPr>
          <w:p>
            <w:pPr>
              <w:pStyle w:val="4"/>
              <w:spacing w:line="560" w:lineRule="exact"/>
              <w:ind w:firstLine="0" w:firstLineChars="0"/>
              <w:jc w:val="center"/>
              <w:rPr>
                <w:sz w:val="24"/>
                <w:szCs w:val="24"/>
              </w:rPr>
            </w:pPr>
            <w:r>
              <w:rPr>
                <w:rFonts w:hint="eastAsia" w:ascii="Times New Roman" w:hAnsi="Times New Roman" w:eastAsia="宋体" w:cs="Times New Roman"/>
                <w:kern w:val="2"/>
                <w:sz w:val="24"/>
                <w:szCs w:val="24"/>
                <w:highlight w:val="none"/>
                <w:lang w:val="en-US" w:eastAsia="zh-CN" w:bidi="ar-SA"/>
              </w:rPr>
              <w:t>不要求提交</w:t>
            </w:r>
          </w:p>
        </w:tc>
      </w:tr>
    </w:tbl>
    <w:p>
      <w:r>
        <w:rPr>
          <w:rFonts w:hint="eastAsia" w:ascii="宋体" w:hAnsi="宋体"/>
          <w:b/>
          <w:sz w:val="24"/>
          <w:szCs w:val="24"/>
        </w:rPr>
        <w:t>备注：本项目为一个</w:t>
      </w:r>
      <w:r>
        <w:rPr>
          <w:rFonts w:hint="eastAsia" w:ascii="宋体" w:hAnsi="宋体"/>
          <w:b/>
          <w:sz w:val="24"/>
          <w:szCs w:val="24"/>
          <w:lang w:eastAsia="zh-CN"/>
        </w:rPr>
        <w:t>整体</w:t>
      </w:r>
      <w:r>
        <w:rPr>
          <w:rFonts w:hint="eastAsia" w:ascii="宋体" w:hAnsi="宋体"/>
          <w:b/>
          <w:sz w:val="24"/>
          <w:szCs w:val="24"/>
        </w:rPr>
        <w:t>，磋商响应</w:t>
      </w:r>
      <w:r>
        <w:rPr>
          <w:rFonts w:hint="eastAsia" w:ascii="宋体" w:hAnsi="宋体"/>
          <w:b/>
          <w:sz w:val="24"/>
          <w:szCs w:val="24"/>
          <w:lang w:eastAsia="zh-CN"/>
        </w:rPr>
        <w:t>供应商</w:t>
      </w:r>
      <w:r>
        <w:rPr>
          <w:rFonts w:hint="eastAsia" w:ascii="宋体" w:hAnsi="宋体"/>
          <w:b/>
          <w:sz w:val="24"/>
          <w:szCs w:val="24"/>
        </w:rPr>
        <w:t>必须对</w:t>
      </w:r>
      <w:r>
        <w:rPr>
          <w:rFonts w:hint="eastAsia" w:ascii="宋体" w:hAnsi="宋体"/>
          <w:b/>
          <w:sz w:val="24"/>
          <w:szCs w:val="24"/>
          <w:lang w:eastAsia="zh-CN"/>
        </w:rPr>
        <w:t>本项目</w:t>
      </w:r>
      <w:r>
        <w:rPr>
          <w:rFonts w:hint="eastAsia" w:ascii="宋体" w:hAnsi="宋体"/>
          <w:b/>
          <w:sz w:val="24"/>
          <w:szCs w:val="24"/>
        </w:rPr>
        <w:t>内所有内容进行完整报价。</w:t>
      </w:r>
    </w:p>
    <w:sectPr>
      <w:pgSz w:w="11906" w:h="16838"/>
      <w:pgMar w:top="1020" w:right="1800" w:bottom="1440" w:left="13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I0MTYyM2NjN2Y1MTBmMWZhMjg3MjU0Yzc0OWFhODAifQ=="/>
    <w:docVar w:name="KSO_WPS_MARK_KEY" w:val="b9a21eca-b7d1-44c3-8d7b-67e2df0ce5c9"/>
  </w:docVars>
  <w:rsids>
    <w:rsidRoot w:val="00000000"/>
    <w:rsid w:val="20E118BC"/>
    <w:rsid w:val="2F9357C5"/>
    <w:rsid w:val="55E26FF6"/>
    <w:rsid w:val="5D1A45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uiPriority w:val="99"/>
    <w:pPr>
      <w:ind w:firstLine="420" w:firstLineChars="100"/>
    </w:pPr>
    <w:rPr>
      <w:kern w:val="0"/>
      <w:sz w:val="20"/>
      <w:szCs w:val="22"/>
    </w:rPr>
  </w:style>
  <w:style w:type="paragraph" w:styleId="3">
    <w:name w:val="Body Text"/>
    <w:basedOn w:val="1"/>
    <w:next w:val="1"/>
    <w:qFormat/>
    <w:uiPriority w:val="0"/>
    <w:pPr>
      <w:spacing w:after="120"/>
    </w:pPr>
    <w:rPr>
      <w:szCs w:val="24"/>
    </w:rPr>
  </w:style>
  <w:style w:type="paragraph" w:styleId="4">
    <w:name w:val="Normal Indent"/>
    <w:basedOn w:val="1"/>
    <w:qFormat/>
    <w:uiPriority w:val="99"/>
    <w:pPr>
      <w:ind w:firstLine="420"/>
    </w:pPr>
    <w:rPr>
      <w:rFonts w:ascii="宋体" w:hAnsi="宋体"/>
      <w:kern w:val="0"/>
      <w:sz w:val="20"/>
      <w:szCs w:val="20"/>
    </w:rPr>
  </w:style>
  <w:style w:type="paragraph" w:styleId="5">
    <w:name w:val="Body Text Indent"/>
    <w:basedOn w:val="1"/>
    <w:next w:val="1"/>
    <w:qFormat/>
    <w:uiPriority w:val="0"/>
    <w:pPr>
      <w:spacing w:after="120"/>
      <w:ind w:left="420" w:leftChars="200"/>
    </w:pPr>
    <w:rPr>
      <w:szCs w:val="24"/>
    </w:rPr>
  </w:style>
  <w:style w:type="paragraph" w:styleId="6">
    <w:name w:val="toc 1"/>
    <w:basedOn w:val="1"/>
    <w:next w:val="1"/>
    <w:qFormat/>
    <w:uiPriority w:val="39"/>
    <w:rPr>
      <w:rFonts w:ascii="Times New Roman" w:hAnsi="Times New Roman"/>
      <w:szCs w:val="24"/>
    </w:rPr>
  </w:style>
  <w:style w:type="paragraph" w:styleId="7">
    <w:name w:val="Body Text First Indent 2"/>
    <w:basedOn w:val="5"/>
    <w:next w:val="1"/>
    <w:unhideWhenUsed/>
    <w:qFormat/>
    <w:uiPriority w:val="99"/>
    <w:pPr>
      <w:ind w:firstLine="420" w:firstLineChars="200"/>
    </w:pPr>
    <w:rPr>
      <w:szCs w:val="22"/>
      <w:lang w:val="en-US" w:eastAsia="zh-CN"/>
    </w:rPr>
  </w:style>
  <w:style w:type="table" w:styleId="9">
    <w:name w:val="Table Grid"/>
    <w:basedOn w:val="8"/>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null3"/>
    <w:qFormat/>
    <w:uiPriority w:val="0"/>
    <w:pPr>
      <w:spacing w:before="120" w:beforeLines="50" w:line="360" w:lineRule="auto"/>
      <w:ind w:firstLine="482"/>
    </w:pPr>
    <w:rPr>
      <w:rFonts w:hint="eastAsia" w:ascii="Calibri" w:hAnsi="Calibri" w:eastAsia="宋体" w:cs="Times New Roman"/>
      <w:lang w:val="en-US" w:eastAsia="zh-Hans"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3350</Words>
  <Characters>3663</Characters>
  <Lines>0</Lines>
  <Paragraphs>0</Paragraphs>
  <TotalTime>2</TotalTime>
  <ScaleCrop>false</ScaleCrop>
  <LinksUpToDate>false</LinksUpToDate>
  <CharactersWithSpaces>3668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2025-04-03T02:18:00Z</dcterms:created>
  <dc:creator>Administrator</dc:creator>
  <cp:lastModifiedBy>millie</cp:lastModifiedBy>
  <dcterms:modified xsi:type="dcterms:W3CDTF">2025-04-03T03:38:56Z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3BAE36C887D94DEAB15A9F0A6186B89E_12</vt:lpwstr>
  </property>
</Properties>
</file>