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A576F">
      <w:pPr>
        <w:spacing w:line="50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附件：</w:t>
      </w:r>
    </w:p>
    <w:p w14:paraId="2D3AF36F"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pacing w:val="-2"/>
          <w:sz w:val="44"/>
          <w:szCs w:val="44"/>
        </w:rPr>
      </w:pPr>
      <w:r>
        <w:rPr>
          <w:rFonts w:hint="eastAsia" w:ascii="Calibri" w:hAnsi="Calibri" w:eastAsia="方正小标宋简体" w:cs="Times New Roman"/>
          <w:kern w:val="2"/>
          <w:sz w:val="44"/>
          <w:szCs w:val="22"/>
          <w:highlight w:val="none"/>
          <w:lang w:val="en-US" w:eastAsia="zh-CN" w:bidi="ar-SA"/>
        </w:rPr>
        <w:t>新增鹭岛观光旅游2线的运营方案</w:t>
      </w:r>
    </w:p>
    <w:p w14:paraId="6C5BD30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2013664">
      <w:pPr>
        <w:spacing w:line="60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鹭岛观光旅游2线（黄厝闽南民俗村站—黄厝闽南民俗村站）</w:t>
      </w:r>
    </w:p>
    <w:p w14:paraId="26492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一、线路走向：</w:t>
      </w:r>
    </w:p>
    <w:p w14:paraId="01CC78AC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黄厝公交场站始发，行至黄厝中路、环岛南路、演武大桥、演武路、演武大桥、环岛南路、黄厝中路。</w:t>
      </w:r>
    </w:p>
    <w:p w14:paraId="43DA7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二、停靠站点：</w:t>
      </w:r>
    </w:p>
    <w:p w14:paraId="7FFBB5BE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厝闽南民俗村站始发、黄厝沙滩站、塔头闽南文化村站（塔头站公交站）、音乐广场盼归塔站（曾山站公交站）、曾厝垵古渔村站（曾厝垵站公交站）、珍珠湾站（珍珠湾站公交站）、胡里山炮台站（胡里山站公交站）、厦大白城沙滩站（厦大白城站公交站）、厦大南普陀世贸站（厦大西村公交站）、厦大白城沙滩沿海站（厦大白城站公交站）、胡里山炮台沿海站（胡里山站公交站）、珍珠湾沿海站（珍珠湾站公交站）、曾厝垵古渔村沿海站（曾厝垵站公交站）、音乐广场盼归塔沿海站（曾山站公交站）、塔头闽南文化村沿海站（塔头站公交站）、黄厝闽南民俗村站（黄厝公交场站）</w:t>
      </w:r>
    </w:p>
    <w:p w14:paraId="6EFB6615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三、线路长度：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</w:t>
      </w:r>
      <w:r>
        <w:rPr>
          <w:rFonts w:ascii="仿宋_GB2312" w:hAnsi="仿宋_GB2312" w:eastAsia="仿宋_GB2312" w:cs="仿宋_GB2312"/>
          <w:sz w:val="32"/>
          <w:szCs w:val="32"/>
        </w:rPr>
        <w:t>18.8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公里。</w:t>
      </w:r>
    </w:p>
    <w:p w14:paraId="58A03E63">
      <w:pPr>
        <w:tabs>
          <w:tab w:val="center" w:pos="4754"/>
        </w:tabs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四、投放车辆数：</w:t>
      </w:r>
      <w:r>
        <w:rPr>
          <w:rFonts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4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 w14:paraId="7240B463">
      <w:pPr>
        <w:pStyle w:val="8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五、计划发车间隔 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30</w:t>
      </w:r>
      <w:r>
        <w:rPr>
          <w:rFonts w:hint="eastAsia" w:ascii="仿宋_GB2312" w:hAnsi="仿宋_GB2312" w:eastAsia="仿宋_GB2312" w:cs="仿宋_GB2312"/>
          <w:sz w:val="32"/>
          <w:szCs w:val="32"/>
        </w:rPr>
        <w:t>分一班</w:t>
      </w:r>
    </w:p>
    <w:p w14:paraId="08E8045D">
      <w:pPr>
        <w:pStyle w:val="8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六、首末班时间 ：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首班9：00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末班18</w:t>
      </w:r>
      <w:r>
        <w:rPr>
          <w:rFonts w:ascii="仿宋_GB2312" w:hAnsi="仿宋_GB2312" w:eastAsia="仿宋_GB2312" w:cs="仿宋_GB2312"/>
          <w:sz w:val="32"/>
          <w:szCs w:val="32"/>
        </w:rPr>
        <w:t>:00</w:t>
      </w:r>
      <w:bookmarkStart w:id="0" w:name="_GoBack"/>
      <w:bookmarkEnd w:id="0"/>
    </w:p>
    <w:p w14:paraId="03B2BD5A">
      <w:pPr>
        <w:pStyle w:val="8"/>
        <w:tabs>
          <w:tab w:val="center" w:pos="4734"/>
        </w:tabs>
        <w:spacing w:line="580" w:lineRule="exact"/>
        <w:ind w:left="600" w:firstLine="0" w:firstLineChars="0"/>
        <w:rPr>
          <w:sz w:val="30"/>
          <w:szCs w:val="30"/>
        </w:rPr>
      </w:pPr>
    </w:p>
    <w:p w14:paraId="37621F74">
      <w:pPr>
        <w:pStyle w:val="8"/>
      </w:pPr>
    </w:p>
    <w:p w14:paraId="61739FAD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64DCF66">
      <w:pPr>
        <w:pStyle w:val="8"/>
      </w:pPr>
    </w:p>
    <w:p w14:paraId="773C9782">
      <w:pPr>
        <w:pStyle w:val="8"/>
      </w:pPr>
    </w:p>
    <w:p w14:paraId="5B86743E">
      <w:pPr>
        <w:pStyle w:val="8"/>
      </w:pPr>
    </w:p>
    <w:p w14:paraId="4A4A2627">
      <w:pPr>
        <w:pStyle w:val="8"/>
        <w:ind w:firstLine="0" w:firstLineChars="0"/>
      </w:pPr>
    </w:p>
    <w:p w14:paraId="6B3633ED">
      <w:pPr>
        <w:pStyle w:val="8"/>
        <w:ind w:firstLine="0" w:firstLineChars="0"/>
        <w:jc w:val="center"/>
        <w:rPr>
          <w:rFonts w:ascii="华文中宋" w:hAnsi="华文中宋" w:eastAsia="华文中宋" w:cs="华文中宋"/>
          <w:spacing w:val="-2"/>
          <w:sz w:val="32"/>
          <w:szCs w:val="32"/>
        </w:rPr>
      </w:pPr>
    </w:p>
    <w:p w14:paraId="2D53C747">
      <w:pPr>
        <w:pStyle w:val="8"/>
        <w:ind w:firstLine="0" w:firstLineChars="0"/>
        <w:jc w:val="center"/>
      </w:pPr>
    </w:p>
    <w:p w14:paraId="63E24E07">
      <w:pPr>
        <w:pStyle w:val="8"/>
        <w:ind w:firstLine="0" w:firstLineChars="0"/>
        <w:jc w:val="center"/>
      </w:pPr>
    </w:p>
    <w:p w14:paraId="51BC28C5">
      <w:pPr>
        <w:pStyle w:val="8"/>
        <w:ind w:firstLine="0" w:firstLineChars="0"/>
        <w:jc w:val="center"/>
        <w:rPr>
          <w:rFonts w:ascii="仿宋_GB2312" w:eastAsia="仿宋_GB2312" w:cs="仿宋"/>
          <w:sz w:val="32"/>
          <w:szCs w:val="32"/>
        </w:rPr>
      </w:pPr>
    </w:p>
    <w:p w14:paraId="117650B5">
      <w:pPr>
        <w:pStyle w:val="8"/>
        <w:ind w:firstLine="0" w:firstLineChars="0"/>
        <w:jc w:val="center"/>
        <w:rPr>
          <w:rFonts w:ascii="仿宋_GB2312" w:eastAsia="仿宋_GB2312" w:cs="仿宋"/>
          <w:sz w:val="32"/>
          <w:szCs w:val="32"/>
        </w:rPr>
      </w:pPr>
    </w:p>
    <w:p w14:paraId="29A2F41D"/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xZDQyODVhNDA2MDU3YmY5MDZmNTUzYzdkZGYwNmQifQ=="/>
  </w:docVars>
  <w:rsids>
    <w:rsidRoot w:val="00CC47BB"/>
    <w:rsid w:val="00026B15"/>
    <w:rsid w:val="00070EA8"/>
    <w:rsid w:val="0013354F"/>
    <w:rsid w:val="00164F2C"/>
    <w:rsid w:val="004A0EE1"/>
    <w:rsid w:val="00CC47BB"/>
    <w:rsid w:val="00EC70C9"/>
    <w:rsid w:val="00F1253A"/>
    <w:rsid w:val="3432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9">
    <w:name w:val="文名"/>
    <w:basedOn w:val="1"/>
    <w:qFormat/>
    <w:uiPriority w:val="0"/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436</Words>
  <Characters>446</Characters>
  <Lines>3</Lines>
  <Paragraphs>1</Paragraphs>
  <TotalTime>2</TotalTime>
  <ScaleCrop>false</ScaleCrop>
  <LinksUpToDate>false</LinksUpToDate>
  <CharactersWithSpaces>457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2024-07-31T07:35:00Z</dcterms:created>
  <dc:creator>SCCY</dc:creator>
  <cp:lastModifiedBy>WPS_1651908997</cp:lastModifiedBy>
  <dcterms:modified xsi:type="dcterms:W3CDTF">2024-08-01T03:22:44Z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9F2EDE2401194B6BA96AED22D5E7AB0A_12</vt:lpwstr>
  </property>
</Properties>
</file>