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简体" w:eastAsia="方正小标宋简体"/>
          <w:sz w:val="44"/>
          <w:szCs w:val="44"/>
          <w:highlight w:val="none"/>
        </w:rPr>
      </w:pPr>
      <w:bookmarkStart w:id="3" w:name="_GoBack"/>
      <w:r>
        <w:rPr>
          <w:rFonts w:hint="eastAsia" w:ascii="方正小标宋简体" w:eastAsia="方正小标宋简体"/>
          <w:sz w:val="44"/>
          <w:szCs w:val="44"/>
          <w:highlight w:val="none"/>
        </w:rPr>
        <w:t>厦门市公路事业发展中心</w:t>
      </w:r>
    </w:p>
    <w:p>
      <w:pPr>
        <w:jc w:val="center"/>
        <w:rPr>
          <w:rFonts w:ascii="方正小标宋简体" w:hAnsi="宋体" w:eastAsia="方正小标宋简体"/>
          <w:szCs w:val="32"/>
          <w:highlight w:val="none"/>
        </w:rPr>
      </w:pPr>
      <w:r>
        <w:rPr>
          <w:rFonts w:hint="eastAsia" w:ascii="方正小标宋简体" w:eastAsia="方正小标宋简体"/>
          <w:sz w:val="44"/>
          <w:szCs w:val="44"/>
          <w:highlight w:val="none"/>
        </w:rPr>
        <w:t>养护机械设备考核管理办法（试行）</w:t>
      </w:r>
    </w:p>
    <w:p>
      <w:pPr>
        <w:spacing w:line="360" w:lineRule="auto"/>
        <w:jc w:val="center"/>
        <w:rPr>
          <w:rFonts w:ascii="黑体" w:hAnsi="黑体" w:eastAsia="黑体"/>
          <w:szCs w:val="32"/>
          <w:highlight w:val="none"/>
        </w:rPr>
      </w:pPr>
    </w:p>
    <w:p>
      <w:pPr>
        <w:snapToGrid w:val="0"/>
        <w:spacing w:line="336" w:lineRule="auto"/>
        <w:jc w:val="center"/>
        <w:rPr>
          <w:rFonts w:ascii="黑体" w:hAnsi="黑体" w:eastAsia="黑体"/>
          <w:szCs w:val="32"/>
          <w:highlight w:val="none"/>
        </w:rPr>
      </w:pPr>
      <w:r>
        <w:rPr>
          <w:rFonts w:hint="eastAsia" w:ascii="黑体" w:hAnsi="黑体" w:eastAsia="黑体"/>
          <w:szCs w:val="32"/>
          <w:highlight w:val="none"/>
        </w:rPr>
        <w:t>第一章 总则</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 xml:space="preserve">第一条 </w:t>
      </w:r>
      <w:r>
        <w:rPr>
          <w:rFonts w:hint="eastAsia" w:ascii="仿宋_GB2312" w:hAnsi="仿宋"/>
          <w:szCs w:val="32"/>
          <w:highlight w:val="none"/>
        </w:rPr>
        <w:t>为规范厦门市公路事业发展中心（以下简称“市公路中心”）公路日常养护采购项目（以下简称“项目”）养护机械设备管理，根据省、市交通公路部门有关公路养护机械设备、资产的管理规定及市公路中心养护招投标的有关要求，制定本办法。</w:t>
      </w:r>
    </w:p>
    <w:p>
      <w:pPr>
        <w:pStyle w:val="9"/>
        <w:adjustRightInd w:val="0"/>
        <w:snapToGrid w:val="0"/>
        <w:spacing w:line="336" w:lineRule="auto"/>
        <w:ind w:firstLine="643" w:firstLineChars="200"/>
        <w:rPr>
          <w:rFonts w:ascii="仿宋_GB2312" w:hAnsi="仿宋" w:eastAsia="仿宋_GB2312"/>
          <w:sz w:val="32"/>
          <w:szCs w:val="32"/>
          <w:highlight w:val="none"/>
        </w:rPr>
      </w:pPr>
      <w:r>
        <w:rPr>
          <w:rFonts w:hint="eastAsia" w:ascii="仿宋_GB2312" w:hAnsi="仿宋" w:eastAsia="仿宋_GB2312"/>
          <w:b/>
          <w:sz w:val="32"/>
          <w:szCs w:val="32"/>
          <w:highlight w:val="none"/>
        </w:rPr>
        <w:t xml:space="preserve">第二条 </w:t>
      </w:r>
      <w:r>
        <w:rPr>
          <w:rFonts w:hint="eastAsia" w:ascii="仿宋_GB2312" w:hAnsi="仿宋" w:eastAsia="仿宋_GB2312"/>
          <w:sz w:val="32"/>
          <w:szCs w:val="32"/>
          <w:highlight w:val="none"/>
        </w:rPr>
        <w:t>本办法所称的业主是指厦门市公路事业发展中心，业主驻地代表是指项目所在地辖区由市公路中心派出的公路分支机构；本办法所称的承包人是指被业主（即发包人）接受的具有公路养护承包主体资格的当事人以及取得该当事人资格的合法继承人。</w:t>
      </w:r>
    </w:p>
    <w:p>
      <w:pPr>
        <w:pStyle w:val="9"/>
        <w:adjustRightInd w:val="0"/>
        <w:snapToGrid w:val="0"/>
        <w:spacing w:line="336" w:lineRule="auto"/>
        <w:ind w:firstLine="643" w:firstLineChars="200"/>
        <w:rPr>
          <w:rFonts w:ascii="仿宋_GB2312" w:hAnsi="仿宋" w:eastAsia="仿宋_GB2312"/>
          <w:sz w:val="32"/>
          <w:szCs w:val="32"/>
          <w:highlight w:val="none"/>
        </w:rPr>
      </w:pPr>
      <w:r>
        <w:rPr>
          <w:rFonts w:hint="eastAsia" w:ascii="仿宋_GB2312" w:hAnsi="仿宋" w:eastAsia="仿宋_GB2312"/>
          <w:b/>
          <w:sz w:val="32"/>
          <w:szCs w:val="32"/>
          <w:highlight w:val="none"/>
        </w:rPr>
        <w:t>第三条</w:t>
      </w:r>
      <w:r>
        <w:rPr>
          <w:rFonts w:hint="eastAsia" w:ascii="仿宋_GB2312" w:hAnsi="仿宋" w:eastAsia="仿宋_GB2312"/>
          <w:sz w:val="32"/>
          <w:szCs w:val="32"/>
          <w:highlight w:val="none"/>
        </w:rPr>
        <w:t xml:space="preserve"> 本办法所称的养护机械设备（以下简称 “养护设备”或“设备”），是指各承包人按市公路中心养护招投标要求，配置在中标项目内使用的，价值在2000元（含）以上、使用年限一年及以上的专用设备，包括养护施工机械、运输设备、生产动力设备、仪器试验设备等；本办法所称的车辆是指依法取得机动车登记证、行驶证，用于道路养护作业的专用设备和运输设备，包括但不限于清扫车、洗扫车、洒水车、清洗车、小型运输车等。</w:t>
      </w:r>
    </w:p>
    <w:p>
      <w:pPr>
        <w:snapToGrid w:val="0"/>
        <w:spacing w:line="336" w:lineRule="auto"/>
        <w:jc w:val="center"/>
        <w:rPr>
          <w:rFonts w:ascii="黑体" w:hAnsi="黑体" w:eastAsia="黑体"/>
          <w:b/>
          <w:szCs w:val="32"/>
          <w:highlight w:val="none"/>
        </w:rPr>
      </w:pPr>
      <w:r>
        <w:rPr>
          <w:rFonts w:hint="eastAsia" w:ascii="黑体" w:hAnsi="黑体" w:eastAsia="黑体"/>
          <w:b/>
          <w:szCs w:val="32"/>
          <w:highlight w:val="none"/>
        </w:rPr>
        <w:t>第二章  基本要求</w:t>
      </w:r>
    </w:p>
    <w:p>
      <w:pPr>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 xml:space="preserve">第四条 </w:t>
      </w:r>
      <w:r>
        <w:rPr>
          <w:rFonts w:hint="eastAsia" w:ascii="仿宋_GB2312" w:hAnsi="仿宋"/>
          <w:szCs w:val="32"/>
          <w:highlight w:val="none"/>
        </w:rPr>
        <w:t>承包人应保证投标书所报的养护设备按与业主约定的时间到达现场，接受业主查验确认，未能按时进场作业的，按照《福建省公路养护机械台班定额》规定的台班费标准3倍扣款，并核减相应的养护经费。</w:t>
      </w:r>
    </w:p>
    <w:p>
      <w:pPr>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第五条</w:t>
      </w:r>
      <w:r>
        <w:rPr>
          <w:rFonts w:hint="eastAsia" w:ascii="仿宋_GB2312" w:hAnsi="仿宋"/>
          <w:szCs w:val="32"/>
          <w:highlight w:val="none"/>
        </w:rPr>
        <w:t xml:space="preserve"> 承包人应保证投标书所报的养护设备必须全部专用于中标养护项目，未经业主或业主代表同意，承包人不得挪作他用，对未经允许挪作他用的，每发现一次（台），扣款2000元。</w:t>
      </w:r>
    </w:p>
    <w:p>
      <w:pPr>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第六条</w:t>
      </w:r>
      <w:r>
        <w:rPr>
          <w:rFonts w:hint="eastAsia" w:ascii="仿宋_GB2312" w:hAnsi="仿宋"/>
          <w:szCs w:val="32"/>
          <w:highlight w:val="none"/>
        </w:rPr>
        <w:t xml:space="preserve"> 所有车辆均应安装有车辆定位系统，数据能接入业主现有信息化管理平台，实现车辆运行、作业状况的动态监管。</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 xml:space="preserve">第七条 </w:t>
      </w:r>
      <w:r>
        <w:rPr>
          <w:rFonts w:hint="eastAsia" w:ascii="仿宋_GB2312" w:hAnsi="仿宋"/>
          <w:szCs w:val="32"/>
          <w:highlight w:val="none"/>
        </w:rPr>
        <w:t>承包人必须配置专职机械设备管理人员一至两名（由机械专业技术人员或具有三年以上机械设备管理工作经验的人员担任，并保持相对稳定，不得随意变动）；各项目驻点公路站必须同时配备一名兼职机械设备管理员，配合专职机械设备管理人员做好班站相应的设备管理工作。</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第八条</w:t>
      </w:r>
      <w:r>
        <w:rPr>
          <w:rFonts w:hint="eastAsia" w:ascii="仿宋_GB2312" w:hAnsi="仿宋"/>
          <w:szCs w:val="32"/>
          <w:highlight w:val="none"/>
        </w:rPr>
        <w:t xml:space="preserve"> 承包人应配套建立完善的养护设备管理制度，做好设备的定期检查、维护和日常保养工作，提高设备使用性能，确保设备的完好率和利用率。</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第九条</w:t>
      </w:r>
      <w:r>
        <w:rPr>
          <w:rFonts w:hint="eastAsia" w:ascii="仿宋_GB2312" w:hAnsi="仿宋"/>
          <w:szCs w:val="32"/>
          <w:highlight w:val="none"/>
        </w:rPr>
        <w:t xml:space="preserve"> 承包人应随时掌握养护设备的运行动态和分布情况，如有变更或调拨的，应及时以书面形式向业主驻地代表备案。</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第十条</w:t>
      </w:r>
      <w:r>
        <w:rPr>
          <w:rFonts w:hint="eastAsia" w:ascii="仿宋_GB2312" w:hAnsi="仿宋"/>
          <w:szCs w:val="32"/>
          <w:highlight w:val="none"/>
        </w:rPr>
        <w:t xml:space="preserve"> 承包人应按业主要求建立健全养护设备台</w:t>
      </w:r>
      <w:r>
        <w:rPr>
          <w:rFonts w:hint="eastAsia" w:ascii="仿宋_GB2312" w:hAnsi="仿宋"/>
          <w:szCs w:val="32"/>
          <w:highlight w:val="none"/>
          <w:lang w:eastAsia="zh-CN"/>
        </w:rPr>
        <w:t>账</w:t>
      </w:r>
      <w:r>
        <w:rPr>
          <w:rFonts w:hint="eastAsia" w:ascii="仿宋_GB2312" w:hAnsi="仿宋"/>
          <w:szCs w:val="32"/>
          <w:highlight w:val="none"/>
        </w:rPr>
        <w:t>及技术档案，及时准确报送设备相关统计报表，做好分级管理。其中，《机械车辆履历书》应按“一车一档”的标准按规范及时填写，设备保养及维修记录可按年整理，单独附表黏贴；《机械车辆使用记录簿》应在养护作业系统上规范填写录入各项原始记录，并按要求整理存档，随时备查；每年12月26前应将养护设备盘查表报送至业主驻地代表处（附件1：厦门市公路事业发展中心养护机械设备盘查表）。</w:t>
      </w:r>
    </w:p>
    <w:p>
      <w:pPr>
        <w:adjustRightInd w:val="0"/>
        <w:snapToGrid w:val="0"/>
        <w:spacing w:line="336" w:lineRule="auto"/>
        <w:jc w:val="center"/>
        <w:rPr>
          <w:rFonts w:ascii="黑体" w:hAnsi="黑体" w:eastAsia="黑体"/>
          <w:szCs w:val="32"/>
          <w:highlight w:val="none"/>
        </w:rPr>
      </w:pPr>
      <w:r>
        <w:rPr>
          <w:rFonts w:hint="eastAsia" w:ascii="黑体" w:hAnsi="黑体" w:eastAsia="黑体"/>
          <w:szCs w:val="32"/>
          <w:highlight w:val="none"/>
        </w:rPr>
        <w:t>第三章 日常管理</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第十一条</w:t>
      </w:r>
      <w:r>
        <w:rPr>
          <w:rFonts w:hint="eastAsia" w:ascii="仿宋_GB2312" w:hAnsi="仿宋"/>
          <w:szCs w:val="32"/>
          <w:highlight w:val="none"/>
        </w:rPr>
        <w:t xml:space="preserve"> 承包人应根据养护作业需要正确选配养护设备，并做好设备的检查、维护和故障排除，确保其正常使用；设备操作人员要严格执行操作规程，正确操作，并做好日常维护保养。</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 xml:space="preserve">第十二条 </w:t>
      </w:r>
      <w:r>
        <w:rPr>
          <w:rFonts w:hint="eastAsia" w:ascii="仿宋_GB2312" w:hAnsi="仿宋"/>
          <w:szCs w:val="32"/>
          <w:highlight w:val="none"/>
        </w:rPr>
        <w:t>养护设备外观及标识应符合行业规范性、统一性要求：表面主颜色统一为桔黄色，并在车头正前方明显位置喷涂‘公路</w:t>
      </w:r>
      <w:r>
        <w:rPr>
          <w:rFonts w:ascii="仿宋_GB2312" w:hAnsi="仿宋"/>
          <w:szCs w:val="32"/>
          <w:highlight w:val="none"/>
        </w:rPr>
        <w:pict>
          <v:shape id="_x0000_i1025" o:spt="75" alt="说明: TE(FFJQPMI$N$636KZ~X)2K" type="#_x0000_t75" style="height:11.75pt;width:11.75pt;" filled="f" o:preferrelative="t" stroked="f" coordsize="21600,21600">
            <v:path/>
            <v:fill on="f" focussize="0,0"/>
            <v:stroke on="f" joinstyle="miter"/>
            <v:imagedata r:id="rId8" o:title="TE(FFJQPMI$N$636KZ~X)2K"/>
            <o:lock v:ext="edit" aspectratio="t"/>
            <w10:wrap type="none"/>
            <w10:anchorlock/>
          </v:shape>
        </w:pict>
      </w:r>
      <w:r>
        <w:rPr>
          <w:rFonts w:hint="eastAsia" w:ascii="仿宋_GB2312" w:hAnsi="仿宋"/>
          <w:szCs w:val="32"/>
          <w:highlight w:val="none"/>
        </w:rPr>
        <w:t>养护’字样，车辆设备应安装长排型（不少于1.2米）养护作业黄色警示灯或爆闪灯，车身两侧及后侧贴高强度反光条。洗扫车、清扫车、洒水车、路面养护车在车身两侧显目位置喷涂蓝色的‘厦门</w:t>
      </w:r>
      <w:r>
        <w:rPr>
          <w:rFonts w:ascii="仿宋_GB2312" w:hAnsi="仿宋"/>
          <w:szCs w:val="32"/>
          <w:highlight w:val="none"/>
        </w:rPr>
        <w:pict>
          <v:shape id="_x0000_i1026" o:spt="75" alt="说明: TE(FFJQPMI$N$636KZ~X)2K" type="#_x0000_t75" style="height:11.75pt;width:11.75pt;" filled="f" o:preferrelative="t" stroked="f" coordsize="21600,21600">
            <v:path/>
            <v:fill on="f" focussize="0,0"/>
            <v:stroke on="f" joinstyle="miter"/>
            <v:imagedata r:id="rId8" o:title="TE(FFJQPMI$N$636KZ~X)2K"/>
            <o:lock v:ext="edit" aspectratio="t"/>
            <w10:wrap type="none"/>
            <w10:anchorlock/>
          </v:shape>
        </w:pict>
      </w:r>
      <w:r>
        <w:rPr>
          <w:rFonts w:hint="eastAsia" w:ascii="仿宋_GB2312" w:hAnsi="仿宋"/>
          <w:szCs w:val="32"/>
          <w:highlight w:val="none"/>
        </w:rPr>
        <w:t>公路’字样，在车身尾部分别喷涂‘公路</w:t>
      </w:r>
      <w:r>
        <w:rPr>
          <w:rFonts w:ascii="仿宋_GB2312" w:hAnsi="仿宋"/>
          <w:szCs w:val="32"/>
          <w:highlight w:val="none"/>
        </w:rPr>
        <w:pict>
          <v:shape id="_x0000_i1027" o:spt="75" alt="说明: TE(FFJQPMI$N$636KZ~X)2K" type="#_x0000_t75" style="height:11.75pt;width:11.75pt;" filled="f" o:preferrelative="t" stroked="f" coordsize="21600,21600">
            <v:path/>
            <v:fill on="f" focussize="0,0"/>
            <v:stroke on="f" joinstyle="miter"/>
            <v:imagedata r:id="rId8" o:title="TE(FFJQPMI$N$636KZ~X)2K"/>
            <o:lock v:ext="edit" aspectratio="t"/>
            <w10:wrap type="none"/>
            <w10:anchorlock/>
          </v:shape>
        </w:pict>
      </w:r>
      <w:r>
        <w:rPr>
          <w:rFonts w:hint="eastAsia" w:ascii="仿宋_GB2312" w:hAnsi="仿宋"/>
          <w:szCs w:val="32"/>
          <w:highlight w:val="none"/>
        </w:rPr>
        <w:t>洗扫’、‘公路</w:t>
      </w:r>
      <w:r>
        <w:rPr>
          <w:rFonts w:ascii="仿宋_GB2312" w:hAnsi="仿宋"/>
          <w:szCs w:val="32"/>
          <w:highlight w:val="none"/>
        </w:rPr>
        <w:pict>
          <v:shape id="_x0000_i1028" o:spt="75" alt="说明: TE(FFJQPMI$N$636KZ~X)2K" type="#_x0000_t75" style="height:11.75pt;width:11.75pt;" filled="f" o:preferrelative="t" stroked="f" coordsize="21600,21600">
            <v:path/>
            <v:fill on="f" focussize="0,0"/>
            <v:stroke on="f" joinstyle="miter"/>
            <v:imagedata r:id="rId8" o:title="TE(FFJQPMI$N$636KZ~X)2K"/>
            <o:lock v:ext="edit" aspectratio="t"/>
            <w10:wrap type="none"/>
            <w10:anchorlock/>
          </v:shape>
        </w:pict>
      </w:r>
      <w:r>
        <w:rPr>
          <w:rFonts w:hint="eastAsia" w:ascii="仿宋_GB2312" w:hAnsi="仿宋"/>
          <w:szCs w:val="32"/>
          <w:highlight w:val="none"/>
        </w:rPr>
        <w:t>清扫’、‘公路</w:t>
      </w:r>
      <w:r>
        <w:rPr>
          <w:rFonts w:ascii="仿宋_GB2312" w:hAnsi="仿宋"/>
          <w:szCs w:val="32"/>
          <w:highlight w:val="none"/>
        </w:rPr>
        <w:pict>
          <v:shape id="_x0000_i1029" o:spt="75" alt="说明: TE(FFJQPMI$N$636KZ~X)2K" type="#_x0000_t75" style="height:11.75pt;width:11.75pt;" filled="f" o:preferrelative="t" stroked="f" coordsize="21600,21600">
            <v:path/>
            <v:fill on="f" focussize="0,0"/>
            <v:stroke on="f" joinstyle="miter"/>
            <v:imagedata r:id="rId8" o:title="TE(FFJQPMI$N$636KZ~X)2K"/>
            <o:lock v:ext="edit" aspectratio="t"/>
            <w10:wrap type="none"/>
            <w10:anchorlock/>
          </v:shape>
        </w:pict>
      </w:r>
      <w:r>
        <w:rPr>
          <w:rFonts w:hint="eastAsia" w:ascii="仿宋_GB2312" w:hAnsi="仿宋"/>
          <w:szCs w:val="32"/>
          <w:highlight w:val="none"/>
        </w:rPr>
        <w:t>洒水’、‘公路</w:t>
      </w:r>
      <w:r>
        <w:rPr>
          <w:rFonts w:ascii="仿宋_GB2312" w:hAnsi="仿宋"/>
          <w:szCs w:val="32"/>
          <w:highlight w:val="none"/>
        </w:rPr>
        <w:pict>
          <v:shape id="_x0000_i1030" o:spt="75" alt="说明: TE(FFJQPMI$N$636KZ~X)2K" type="#_x0000_t75" style="height:11.75pt;width:11.75pt;" filled="f" o:preferrelative="t" stroked="f" coordsize="21600,21600">
            <v:path/>
            <v:fill on="f" focussize="0,0"/>
            <v:stroke on="f" joinstyle="miter"/>
            <v:imagedata r:id="rId8" o:title="TE(FFJQPMI$N$636KZ~X)2K"/>
            <o:lock v:ext="edit" aspectratio="t"/>
            <w10:wrap type="none"/>
            <w10:anchorlock/>
          </v:shape>
        </w:pict>
      </w:r>
      <w:r>
        <w:rPr>
          <w:rFonts w:hint="eastAsia" w:ascii="仿宋_GB2312" w:hAnsi="仿宋"/>
          <w:szCs w:val="32"/>
          <w:highlight w:val="none"/>
        </w:rPr>
        <w:t>清洗’字样。洗扫车、清扫车、洒水车后端上部悬挂车载式交通导向灯，洒水车后端还要悬挂黄底黑字且具有反光作用的“公路养护注意安全”警示牌。</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 xml:space="preserve">第十三条 </w:t>
      </w:r>
      <w:r>
        <w:rPr>
          <w:rFonts w:hint="eastAsia" w:ascii="仿宋_GB2312" w:hAnsi="仿宋"/>
          <w:szCs w:val="32"/>
          <w:highlight w:val="none"/>
        </w:rPr>
        <w:t>凡投入使用的养护设备，均应符合下列技术条件：</w:t>
      </w:r>
    </w:p>
    <w:p>
      <w:pPr>
        <w:tabs>
          <w:tab w:val="left" w:pos="900"/>
        </w:tabs>
        <w:adjustRightInd w:val="0"/>
        <w:snapToGrid w:val="0"/>
        <w:spacing w:line="336" w:lineRule="auto"/>
        <w:ind w:firstLine="640" w:firstLineChars="200"/>
        <w:rPr>
          <w:rFonts w:ascii="仿宋_GB2312" w:hAnsi="仿宋"/>
          <w:szCs w:val="32"/>
          <w:highlight w:val="none"/>
        </w:rPr>
      </w:pPr>
      <w:r>
        <w:rPr>
          <w:rFonts w:hint="eastAsia" w:ascii="仿宋_GB2312" w:hAnsi="仿宋"/>
          <w:szCs w:val="32"/>
          <w:highlight w:val="none"/>
        </w:rPr>
        <w:t>1.设备外观干净、整洁，无明显损伤，漆面平整，无脱漆或明显开裂。</w:t>
      </w:r>
    </w:p>
    <w:p>
      <w:pPr>
        <w:tabs>
          <w:tab w:val="left" w:pos="900"/>
        </w:tabs>
        <w:adjustRightInd w:val="0"/>
        <w:snapToGrid w:val="0"/>
        <w:spacing w:line="336" w:lineRule="auto"/>
        <w:ind w:firstLine="640" w:firstLineChars="200"/>
        <w:rPr>
          <w:rFonts w:ascii="仿宋_GB2312" w:hAnsi="仿宋"/>
          <w:szCs w:val="32"/>
          <w:highlight w:val="none"/>
        </w:rPr>
      </w:pPr>
      <w:r>
        <w:rPr>
          <w:rFonts w:hint="eastAsia" w:ascii="仿宋_GB2312" w:hAnsi="仿宋"/>
          <w:szCs w:val="32"/>
          <w:highlight w:val="none"/>
        </w:rPr>
        <w:t>2.发动机（电动机）动力性良好，运转正常，无漏油、漏水、漏电、漏气现象，燃、润料消耗正常。</w:t>
      </w:r>
    </w:p>
    <w:p>
      <w:pPr>
        <w:tabs>
          <w:tab w:val="left" w:pos="900"/>
        </w:tabs>
        <w:adjustRightInd w:val="0"/>
        <w:snapToGrid w:val="0"/>
        <w:spacing w:line="336" w:lineRule="auto"/>
        <w:ind w:firstLine="640" w:firstLineChars="200"/>
        <w:rPr>
          <w:rFonts w:ascii="仿宋_GB2312" w:hAnsi="仿宋"/>
          <w:szCs w:val="32"/>
          <w:highlight w:val="none"/>
        </w:rPr>
      </w:pPr>
      <w:r>
        <w:rPr>
          <w:rFonts w:hint="eastAsia" w:ascii="仿宋_GB2312" w:hAnsi="仿宋"/>
          <w:szCs w:val="32"/>
          <w:highlight w:val="none"/>
        </w:rPr>
        <w:t>3.各运转机构及其他工作装置完好，灯光、仪器及仪表能正常使用，各部件连接紧固、可靠，无异常响声，各润滑部位润滑，不缺油。</w:t>
      </w:r>
    </w:p>
    <w:p>
      <w:pPr>
        <w:tabs>
          <w:tab w:val="left" w:pos="900"/>
        </w:tabs>
        <w:adjustRightInd w:val="0"/>
        <w:snapToGrid w:val="0"/>
        <w:spacing w:line="336" w:lineRule="auto"/>
        <w:ind w:firstLine="640" w:firstLineChars="200"/>
        <w:rPr>
          <w:rFonts w:ascii="仿宋_GB2312" w:hAnsi="仿宋"/>
          <w:szCs w:val="32"/>
          <w:highlight w:val="none"/>
        </w:rPr>
      </w:pPr>
      <w:r>
        <w:rPr>
          <w:rFonts w:hint="eastAsia" w:ascii="仿宋_GB2312" w:hAnsi="仿宋"/>
          <w:szCs w:val="32"/>
          <w:highlight w:val="none"/>
        </w:rPr>
        <w:t>4.安全部件可靠、灵活、性能良好，制动效能符合有关规定，安全防护装置和电气设备应齐全可靠。</w:t>
      </w:r>
    </w:p>
    <w:p>
      <w:pPr>
        <w:tabs>
          <w:tab w:val="left" w:pos="900"/>
        </w:tabs>
        <w:adjustRightInd w:val="0"/>
        <w:snapToGrid w:val="0"/>
        <w:spacing w:line="336" w:lineRule="auto"/>
        <w:ind w:firstLine="640" w:firstLineChars="200"/>
        <w:rPr>
          <w:rFonts w:ascii="仿宋_GB2312" w:hAnsi="仿宋"/>
          <w:szCs w:val="32"/>
          <w:highlight w:val="none"/>
        </w:rPr>
      </w:pPr>
      <w:r>
        <w:rPr>
          <w:rFonts w:hint="eastAsia" w:ascii="仿宋_GB2312" w:hAnsi="仿宋"/>
          <w:szCs w:val="32"/>
          <w:highlight w:val="none"/>
        </w:rPr>
        <w:t>5.符合国家及省、市有关标准，不得使用不符合国家或省、市强制标准或经业主检查后认定不能满足作业要求的养护机具，每发现一次，扣款10000元。</w:t>
      </w:r>
    </w:p>
    <w:p>
      <w:pPr>
        <w:tabs>
          <w:tab w:val="left" w:pos="900"/>
        </w:tabs>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第十四条</w:t>
      </w:r>
      <w:r>
        <w:rPr>
          <w:rFonts w:hint="eastAsia" w:ascii="仿宋_GB2312" w:hAnsi="仿宋"/>
          <w:szCs w:val="32"/>
          <w:highlight w:val="none"/>
        </w:rPr>
        <w:t xml:space="preserve"> 承包人应每天检查车载定位系统是否正常运行，若发现车载定位系统存在故障，应立即修复，并向业主报备。车载定位系统故障未报修的，视同故意损坏设备、主观逃避监管情形处理，按系统未记录数据的天数直接扣减相关设备费用（费用标准详见附件2 机械车辆费用标准表），并追究设备管理不到位责任，情节较轻的，每次扣款1000元；情节较重且对养护作业造成一定影响的，每次扣款3000元；情节严重性质恶劣且对养护作业造成较大影响的，每次扣款5000元。</w:t>
      </w:r>
    </w:p>
    <w:p>
      <w:pPr>
        <w:tabs>
          <w:tab w:val="left" w:pos="900"/>
        </w:tabs>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 xml:space="preserve">第十五条 </w:t>
      </w:r>
      <w:r>
        <w:rPr>
          <w:rFonts w:hint="eastAsia" w:ascii="仿宋_GB2312" w:hAnsi="仿宋"/>
          <w:szCs w:val="32"/>
          <w:highlight w:val="none"/>
        </w:rPr>
        <w:t>养护项目内的养护设备进场经业主查验备案后，承包人不得随意更换，如因特殊原因确需更换的，应提前以书面形式向业主驻地代表和业主报备，并按要求做好必要的标识更换、定位系统接入、资料更新等工作。未经报备随意更换的，每次（台）扣款3000元。</w:t>
      </w:r>
    </w:p>
    <w:p>
      <w:pPr>
        <w:tabs>
          <w:tab w:val="left" w:pos="900"/>
        </w:tabs>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第十六条</w:t>
      </w:r>
      <w:r>
        <w:rPr>
          <w:rFonts w:hint="eastAsia" w:ascii="仿宋_GB2312" w:hAnsi="仿宋"/>
          <w:szCs w:val="32"/>
          <w:highlight w:val="none"/>
        </w:rPr>
        <w:t xml:space="preserve"> 业主驻地代表负责养护设备考核，每月对清（洗）扫车和洒水车进行抽检并以报表的形式汇报给业主，若无天气等不可控因素，清（洗）扫车保洁履约率应达到100%，缺勤天数在3天（含）之内的，按天数扣除相应经费；每月</w:t>
      </w:r>
      <w:bookmarkStart w:id="0" w:name="_Hlk65093196"/>
      <w:r>
        <w:rPr>
          <w:rFonts w:hint="eastAsia" w:ascii="仿宋_GB2312" w:hAnsi="仿宋"/>
          <w:szCs w:val="32"/>
          <w:highlight w:val="none"/>
        </w:rPr>
        <w:t>未外出作业天数</w:t>
      </w:r>
      <w:bookmarkEnd w:id="0"/>
      <w:r>
        <w:rPr>
          <w:rFonts w:hint="eastAsia" w:ascii="仿宋_GB2312" w:hAnsi="仿宋"/>
          <w:szCs w:val="32"/>
          <w:highlight w:val="none"/>
        </w:rPr>
        <w:t>超过3天少于6天（含）的，按天数扣除相应经费，并追加扣款2000元；每月未外出作业天数超过6天少于9天（含）的，按天数扣除相应经费，并追加扣款4000元；每月未外出作业天数超过9天的，则扣除该辆车当月保洁费用，并追加处罚10000元（费用标准详见附件2 机械车辆费用标准表）。</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第十七条</w:t>
      </w:r>
      <w:r>
        <w:rPr>
          <w:rFonts w:hint="eastAsia" w:ascii="仿宋_GB2312" w:hAnsi="仿宋"/>
          <w:szCs w:val="32"/>
          <w:highlight w:val="none"/>
        </w:rPr>
        <w:t xml:space="preserve"> 养护设备作业完成后当天应全面清洗，做到车身干净、整洁、无尘土和油渍。</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第十八条</w:t>
      </w:r>
      <w:r>
        <w:rPr>
          <w:rFonts w:hint="eastAsia" w:ascii="仿宋_GB2312" w:hAnsi="仿宋"/>
          <w:szCs w:val="32"/>
          <w:highlight w:val="none"/>
        </w:rPr>
        <w:t xml:space="preserve"> 养护设备有下列情况之一的，应清退出养护项目,并使用相应合格的设备进行替换，否则业主有权直接采购配置，所需费用由承包人承担：</w:t>
      </w:r>
    </w:p>
    <w:p>
      <w:pPr>
        <w:adjustRightInd w:val="0"/>
        <w:snapToGrid w:val="0"/>
        <w:spacing w:line="336" w:lineRule="auto"/>
        <w:ind w:firstLine="640" w:firstLineChars="200"/>
        <w:rPr>
          <w:rFonts w:ascii="仿宋_GB2312" w:hAnsi="仿宋"/>
          <w:kern w:val="0"/>
          <w:szCs w:val="32"/>
          <w:highlight w:val="none"/>
        </w:rPr>
      </w:pPr>
      <w:r>
        <w:rPr>
          <w:rFonts w:hint="eastAsia" w:ascii="仿宋_GB2312" w:hAnsi="仿宋"/>
          <w:kern w:val="0"/>
          <w:szCs w:val="32"/>
          <w:highlight w:val="none"/>
        </w:rPr>
        <w:t>1.主要机构或部件已损坏到不能使用，虽经修理，但设备性能已达不到规定要求和不能保证安全生产的；</w:t>
      </w:r>
    </w:p>
    <w:p>
      <w:pPr>
        <w:adjustRightInd w:val="0"/>
        <w:snapToGrid w:val="0"/>
        <w:spacing w:line="336" w:lineRule="auto"/>
        <w:ind w:firstLine="640" w:firstLineChars="200"/>
        <w:rPr>
          <w:rFonts w:ascii="仿宋_GB2312" w:hAnsi="仿宋"/>
          <w:kern w:val="0"/>
          <w:szCs w:val="32"/>
          <w:highlight w:val="none"/>
        </w:rPr>
      </w:pPr>
      <w:r>
        <w:rPr>
          <w:rFonts w:hint="eastAsia" w:ascii="仿宋_GB2312" w:hAnsi="仿宋"/>
          <w:kern w:val="0"/>
          <w:szCs w:val="32"/>
          <w:highlight w:val="none"/>
        </w:rPr>
        <w:t>2.设备达到使用年限，技术性能已达不到国家规范和安全操作规程要求或大修虽能恢复性能，但经济上不如更新合算的；</w:t>
      </w:r>
    </w:p>
    <w:p>
      <w:pPr>
        <w:adjustRightInd w:val="0"/>
        <w:snapToGrid w:val="0"/>
        <w:spacing w:line="336" w:lineRule="auto"/>
        <w:ind w:firstLine="640" w:firstLineChars="200"/>
        <w:rPr>
          <w:rFonts w:ascii="仿宋_GB2312" w:hAnsi="仿宋"/>
          <w:kern w:val="0"/>
          <w:szCs w:val="32"/>
          <w:highlight w:val="none"/>
        </w:rPr>
      </w:pPr>
      <w:r>
        <w:rPr>
          <w:rFonts w:hint="eastAsia" w:ascii="仿宋_GB2312" w:hAnsi="仿宋"/>
          <w:kern w:val="0"/>
          <w:szCs w:val="32"/>
          <w:highlight w:val="none"/>
        </w:rPr>
        <w:t>3.自制非标准设备无继续使用价值的，或因事故等原因造成设备严重损坏且无法修复的；</w:t>
      </w:r>
    </w:p>
    <w:p>
      <w:pPr>
        <w:adjustRightInd w:val="0"/>
        <w:snapToGrid w:val="0"/>
        <w:spacing w:line="336" w:lineRule="auto"/>
        <w:ind w:firstLine="640" w:firstLineChars="200"/>
        <w:rPr>
          <w:rFonts w:ascii="仿宋_GB2312" w:hAnsi="仿宋"/>
          <w:kern w:val="0"/>
          <w:szCs w:val="32"/>
          <w:highlight w:val="none"/>
        </w:rPr>
      </w:pPr>
      <w:r>
        <w:rPr>
          <w:rFonts w:hint="eastAsia" w:ascii="仿宋_GB2312" w:hAnsi="仿宋"/>
          <w:kern w:val="0"/>
          <w:szCs w:val="32"/>
          <w:highlight w:val="none"/>
        </w:rPr>
        <w:t>4.国家和省、市有关部门规定应淘汰的或经市公路中心组织鉴定为应报废的。</w:t>
      </w:r>
    </w:p>
    <w:p>
      <w:pPr>
        <w:adjustRightInd w:val="0"/>
        <w:snapToGrid w:val="0"/>
        <w:spacing w:line="336" w:lineRule="auto"/>
        <w:jc w:val="center"/>
        <w:rPr>
          <w:rFonts w:ascii="黑体" w:hAnsi="黑体" w:eastAsia="黑体"/>
          <w:szCs w:val="32"/>
          <w:highlight w:val="none"/>
        </w:rPr>
      </w:pPr>
      <w:r>
        <w:rPr>
          <w:rFonts w:hint="eastAsia" w:ascii="黑体" w:hAnsi="黑体" w:eastAsia="黑体"/>
          <w:szCs w:val="32"/>
          <w:highlight w:val="none"/>
        </w:rPr>
        <w:t>第四章  作业标准和安全生产操作规程</w:t>
      </w:r>
    </w:p>
    <w:p>
      <w:pPr>
        <w:adjustRightInd w:val="0"/>
        <w:snapToGrid w:val="0"/>
        <w:spacing w:line="336" w:lineRule="auto"/>
        <w:ind w:firstLine="643"/>
        <w:rPr>
          <w:rFonts w:ascii="仿宋_GB2312" w:hAnsi="仿宋"/>
          <w:kern w:val="0"/>
          <w:szCs w:val="32"/>
          <w:highlight w:val="none"/>
        </w:rPr>
      </w:pPr>
      <w:r>
        <w:rPr>
          <w:rFonts w:hint="eastAsia" w:ascii="仿宋_GB2312" w:hAnsi="仿宋"/>
          <w:b/>
          <w:szCs w:val="32"/>
          <w:highlight w:val="none"/>
        </w:rPr>
        <w:t>第十九条</w:t>
      </w:r>
      <w:r>
        <w:rPr>
          <w:rFonts w:hint="eastAsia" w:ascii="仿宋_GB2312" w:hAnsi="仿宋"/>
          <w:szCs w:val="32"/>
          <w:highlight w:val="none"/>
        </w:rPr>
        <w:t xml:space="preserve"> 养护设备道路机械清扫保洁相关车辆执行《厦门市公路事业发展中心道路清扫保洁作业标准》。</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 xml:space="preserve">第二十条 </w:t>
      </w:r>
      <w:r>
        <w:rPr>
          <w:rFonts w:hint="eastAsia" w:ascii="仿宋_GB2312" w:hAnsi="仿宋"/>
          <w:szCs w:val="32"/>
          <w:highlight w:val="none"/>
        </w:rPr>
        <w:t>承包人应确保养护设备处于良好技术状态，发生故障应及时修复，不能带故障上路作业，否则一经发现，每处（台）扣款500元；对存在安全隐患（转向、轮胎、制动等方面）没有及时采取措施消除的，造成一定影响的，每次扣款2000元。养护设备运行中遇有意外情况，应排除不安全因素后方能运行，不得冒险作业。</w:t>
      </w:r>
    </w:p>
    <w:p>
      <w:pPr>
        <w:widowControl/>
        <w:adjustRightInd w:val="0"/>
        <w:snapToGrid w:val="0"/>
        <w:spacing w:line="336" w:lineRule="auto"/>
        <w:ind w:firstLine="643" w:firstLineChars="200"/>
        <w:rPr>
          <w:rFonts w:ascii="仿宋_GB2312" w:hAnsi="仿宋" w:cs="宋体"/>
          <w:kern w:val="0"/>
          <w:szCs w:val="32"/>
          <w:highlight w:val="none"/>
        </w:rPr>
      </w:pPr>
      <w:r>
        <w:rPr>
          <w:rFonts w:hint="eastAsia" w:ascii="仿宋_GB2312" w:hAnsi="仿宋"/>
          <w:b/>
          <w:szCs w:val="32"/>
          <w:highlight w:val="none"/>
        </w:rPr>
        <w:t xml:space="preserve">第二十一条 </w:t>
      </w:r>
      <w:r>
        <w:rPr>
          <w:rFonts w:hint="eastAsia" w:ascii="仿宋_GB2312" w:hAnsi="仿宋" w:cs="宋体"/>
          <w:kern w:val="0"/>
          <w:szCs w:val="32"/>
          <w:highlight w:val="none"/>
        </w:rPr>
        <w:t>养护设备操作人员必须身体健康，经过专业培训并考试合格，获得有关部门颁发的操作证或驾驶执照、特殊工种操作证后，方可独立操作养护，不准操作与所持操作证不相符的设备</w:t>
      </w:r>
      <w:r>
        <w:rPr>
          <w:rFonts w:hint="eastAsia" w:ascii="仿宋_GB2312" w:hAnsi="仿宋"/>
          <w:szCs w:val="32"/>
          <w:highlight w:val="none"/>
        </w:rPr>
        <w:t>或将操作证转借他人。未经正规培训，未取得相应资格证书操作设备的，发生一切事故责任由承包人自行承担</w:t>
      </w:r>
      <w:r>
        <w:rPr>
          <w:rFonts w:hint="eastAsia" w:ascii="仿宋_GB2312" w:hAnsi="仿宋" w:cs="宋体"/>
          <w:kern w:val="0"/>
          <w:szCs w:val="32"/>
          <w:highlight w:val="none"/>
        </w:rPr>
        <w:t>。</w:t>
      </w:r>
    </w:p>
    <w:p>
      <w:pPr>
        <w:widowControl/>
        <w:adjustRightInd w:val="0"/>
        <w:snapToGrid w:val="0"/>
        <w:spacing w:line="336" w:lineRule="auto"/>
        <w:ind w:firstLine="643" w:firstLineChars="200"/>
        <w:rPr>
          <w:rFonts w:ascii="仿宋_GB2312" w:hAnsi="仿宋" w:cs="宋体"/>
          <w:kern w:val="0"/>
          <w:szCs w:val="32"/>
          <w:highlight w:val="none"/>
        </w:rPr>
      </w:pPr>
      <w:r>
        <w:rPr>
          <w:rFonts w:hint="eastAsia" w:ascii="仿宋_GB2312" w:hAnsi="仿宋"/>
          <w:b/>
          <w:szCs w:val="32"/>
          <w:highlight w:val="none"/>
        </w:rPr>
        <w:t>第二十二条</w:t>
      </w:r>
      <w:r>
        <w:rPr>
          <w:rFonts w:hint="eastAsia" w:ascii="仿宋_GB2312" w:hAnsi="仿宋"/>
          <w:szCs w:val="32"/>
          <w:highlight w:val="none"/>
        </w:rPr>
        <w:t xml:space="preserve"> 清（洗）扫车驾驶员应保持相对稳定，新上岗驾驶员需经培训，</w:t>
      </w:r>
      <w:r>
        <w:rPr>
          <w:rFonts w:hint="eastAsia" w:ascii="仿宋_GB2312" w:hAnsi="仿宋" w:cs="宋体"/>
          <w:kern w:val="0"/>
          <w:szCs w:val="32"/>
          <w:highlight w:val="none"/>
        </w:rPr>
        <w:t>并由业主或业主驻地代表考核合格后方可上岗。</w:t>
      </w:r>
    </w:p>
    <w:p>
      <w:pPr>
        <w:widowControl/>
        <w:adjustRightInd w:val="0"/>
        <w:snapToGrid w:val="0"/>
        <w:spacing w:line="336" w:lineRule="auto"/>
        <w:ind w:firstLine="643" w:firstLineChars="200"/>
        <w:rPr>
          <w:rFonts w:ascii="仿宋_GB2312" w:hAnsi="仿宋" w:cs="宋体"/>
          <w:kern w:val="0"/>
          <w:szCs w:val="32"/>
          <w:highlight w:val="none"/>
        </w:rPr>
      </w:pPr>
      <w:r>
        <w:rPr>
          <w:rFonts w:hint="eastAsia" w:ascii="仿宋_GB2312" w:hAnsi="仿宋" w:cs="宋体"/>
          <w:b/>
          <w:kern w:val="0"/>
          <w:szCs w:val="32"/>
          <w:highlight w:val="none"/>
        </w:rPr>
        <w:t>第二十三条</w:t>
      </w:r>
      <w:r>
        <w:rPr>
          <w:rFonts w:hint="eastAsia" w:ascii="仿宋_GB2312" w:hAnsi="仿宋" w:cs="宋体"/>
          <w:kern w:val="0"/>
          <w:szCs w:val="32"/>
          <w:highlight w:val="none"/>
        </w:rPr>
        <w:t xml:space="preserve"> 操作人员应严格按养护设备的技术性能要求正确操作，按规程进行作业，爱护设备，作业时精力要集中，严禁酒后操作；养护设备作业运行时，操作人员不得擅离工作岗位，不准将设备交给非本机操作人员操作；严禁无关人员进入运行作业区和操作室内。</w:t>
      </w:r>
    </w:p>
    <w:p>
      <w:pPr>
        <w:widowControl/>
        <w:adjustRightInd w:val="0"/>
        <w:snapToGrid w:val="0"/>
        <w:spacing w:line="336" w:lineRule="auto"/>
        <w:ind w:firstLine="643" w:firstLineChars="200"/>
        <w:rPr>
          <w:rFonts w:ascii="仿宋_GB2312" w:hAnsi="仿宋" w:cs="宋体"/>
          <w:kern w:val="0"/>
          <w:szCs w:val="32"/>
          <w:highlight w:val="none"/>
        </w:rPr>
      </w:pPr>
      <w:r>
        <w:rPr>
          <w:rFonts w:hint="eastAsia" w:ascii="仿宋_GB2312" w:hAnsi="仿宋" w:cs="宋体"/>
          <w:b/>
          <w:kern w:val="0"/>
          <w:szCs w:val="32"/>
          <w:highlight w:val="none"/>
        </w:rPr>
        <w:t>第二十四条</w:t>
      </w:r>
      <w:r>
        <w:rPr>
          <w:rFonts w:hint="eastAsia" w:ascii="仿宋_GB2312" w:hAnsi="仿宋" w:cs="宋体"/>
          <w:kern w:val="0"/>
          <w:szCs w:val="32"/>
          <w:highlight w:val="none"/>
        </w:rPr>
        <w:t xml:space="preserve"> 操作人员及配合作业人员作业时应按规定穿戴</w:t>
      </w:r>
      <w:r>
        <w:rPr>
          <w:rFonts w:hint="eastAsia" w:ascii="仿宋_GB2312" w:hAnsi="仿宋"/>
          <w:szCs w:val="32"/>
          <w:highlight w:val="none"/>
        </w:rPr>
        <w:t>工作标志服，注意作业安全，各种作业灯（交通导向灯、警示灯等）应及时开启；</w:t>
      </w:r>
      <w:r>
        <w:rPr>
          <w:rFonts w:hint="eastAsia" w:ascii="仿宋_GB2312" w:hAnsi="仿宋" w:cs="宋体"/>
          <w:kern w:val="0"/>
          <w:szCs w:val="32"/>
          <w:highlight w:val="none"/>
        </w:rPr>
        <w:t>高空作业时，必须系安全带、戴安全帽等。</w:t>
      </w:r>
    </w:p>
    <w:p>
      <w:pPr>
        <w:widowControl/>
        <w:adjustRightInd w:val="0"/>
        <w:snapToGrid w:val="0"/>
        <w:spacing w:line="336" w:lineRule="auto"/>
        <w:ind w:firstLine="643" w:firstLineChars="200"/>
        <w:rPr>
          <w:rFonts w:ascii="仿宋_GB2312" w:hAnsi="仿宋" w:cs="宋体"/>
          <w:kern w:val="0"/>
          <w:szCs w:val="32"/>
          <w:highlight w:val="none"/>
        </w:rPr>
      </w:pPr>
      <w:r>
        <w:rPr>
          <w:rFonts w:hint="eastAsia" w:ascii="仿宋_GB2312" w:hAnsi="仿宋" w:cs="宋体"/>
          <w:b/>
          <w:kern w:val="0"/>
          <w:szCs w:val="32"/>
          <w:highlight w:val="none"/>
        </w:rPr>
        <w:t>第二十五条</w:t>
      </w:r>
      <w:r>
        <w:rPr>
          <w:rFonts w:hint="eastAsia" w:ascii="仿宋_GB2312" w:hAnsi="仿宋" w:cs="宋体"/>
          <w:kern w:val="0"/>
          <w:szCs w:val="32"/>
          <w:highlight w:val="none"/>
        </w:rPr>
        <w:t xml:space="preserve"> 任何人不得强迫操作人员违章作业；</w:t>
      </w:r>
      <w:r>
        <w:rPr>
          <w:rFonts w:hint="eastAsia" w:ascii="仿宋_GB2312" w:hAnsi="仿宋"/>
          <w:szCs w:val="32"/>
          <w:highlight w:val="none"/>
        </w:rPr>
        <w:t>对任何违反操作规程或危险作业的强行调度和无理要求，</w:t>
      </w:r>
      <w:r>
        <w:rPr>
          <w:rFonts w:hint="eastAsia" w:ascii="仿宋_GB2312" w:hAnsi="仿宋" w:cs="宋体"/>
          <w:kern w:val="0"/>
          <w:szCs w:val="32"/>
          <w:highlight w:val="none"/>
        </w:rPr>
        <w:t>操作人员有权拒绝执行。</w:t>
      </w:r>
    </w:p>
    <w:p>
      <w:pPr>
        <w:widowControl/>
        <w:adjustRightInd w:val="0"/>
        <w:snapToGrid w:val="0"/>
        <w:spacing w:line="336" w:lineRule="auto"/>
        <w:ind w:firstLine="643" w:firstLineChars="200"/>
        <w:rPr>
          <w:rFonts w:ascii="仿宋_GB2312" w:hAnsi="仿宋" w:cs="宋体"/>
          <w:kern w:val="0"/>
          <w:szCs w:val="32"/>
          <w:highlight w:val="none"/>
        </w:rPr>
      </w:pPr>
      <w:r>
        <w:rPr>
          <w:rFonts w:hint="eastAsia" w:ascii="仿宋_GB2312" w:hAnsi="仿宋" w:cs="宋体"/>
          <w:b/>
          <w:kern w:val="0"/>
          <w:szCs w:val="32"/>
          <w:highlight w:val="none"/>
        </w:rPr>
        <w:t>第二十六条</w:t>
      </w:r>
      <w:r>
        <w:rPr>
          <w:rFonts w:hint="eastAsia" w:ascii="仿宋_GB2312" w:hAnsi="仿宋" w:cs="宋体"/>
          <w:kern w:val="0"/>
          <w:szCs w:val="32"/>
          <w:highlight w:val="none"/>
        </w:rPr>
        <w:t xml:space="preserve"> 承包人必须确保养护设备的</w:t>
      </w:r>
      <w:r>
        <w:rPr>
          <w:rFonts w:hint="eastAsia" w:ascii="仿宋_GB2312" w:hAnsi="仿宋"/>
          <w:szCs w:val="32"/>
          <w:highlight w:val="none"/>
        </w:rPr>
        <w:t>安全防护装置固实可靠，不得使用</w:t>
      </w:r>
      <w:r>
        <w:rPr>
          <w:rFonts w:hint="eastAsia" w:ascii="仿宋_GB2312" w:hAnsi="仿宋" w:cs="宋体"/>
          <w:kern w:val="0"/>
          <w:szCs w:val="32"/>
          <w:highlight w:val="none"/>
        </w:rPr>
        <w:t>缺少安全装置或安全装置已失效的养护设备。</w:t>
      </w:r>
    </w:p>
    <w:p>
      <w:pPr>
        <w:widowControl/>
        <w:adjustRightInd w:val="0"/>
        <w:snapToGrid w:val="0"/>
        <w:spacing w:line="336" w:lineRule="auto"/>
        <w:ind w:firstLine="643" w:firstLineChars="200"/>
        <w:rPr>
          <w:rFonts w:ascii="仿宋_GB2312" w:hAnsi="仿宋" w:cs="宋体"/>
          <w:kern w:val="0"/>
          <w:szCs w:val="32"/>
          <w:highlight w:val="none"/>
        </w:rPr>
      </w:pPr>
      <w:r>
        <w:rPr>
          <w:rFonts w:hint="eastAsia" w:ascii="仿宋_GB2312" w:hAnsi="仿宋" w:cs="宋体"/>
          <w:b/>
          <w:kern w:val="0"/>
          <w:szCs w:val="32"/>
          <w:highlight w:val="none"/>
        </w:rPr>
        <w:t>第二十七条</w:t>
      </w:r>
      <w:r>
        <w:rPr>
          <w:rFonts w:hint="eastAsia" w:ascii="仿宋_GB2312" w:hAnsi="仿宋" w:cs="宋体"/>
          <w:kern w:val="0"/>
          <w:szCs w:val="32"/>
          <w:highlight w:val="none"/>
        </w:rPr>
        <w:t xml:space="preserve"> 养护设备作业运行前，承包人相关人员（一般为负责养护的技术人员或专职养护设备管理人员）应向操作人员作机械养护作业及安全技术措施交底；操作人员应熟悉道路现场条件与作业环境，服从现场管理人员的调度指挥，遵守现场作业安全规程。</w:t>
      </w:r>
    </w:p>
    <w:p>
      <w:pPr>
        <w:widowControl/>
        <w:adjustRightInd w:val="0"/>
        <w:snapToGrid w:val="0"/>
        <w:spacing w:line="336" w:lineRule="auto"/>
        <w:ind w:firstLine="643" w:firstLineChars="200"/>
        <w:rPr>
          <w:rFonts w:ascii="仿宋_GB2312" w:hAnsi="仿宋" w:cs="宋体"/>
          <w:kern w:val="0"/>
          <w:szCs w:val="32"/>
          <w:highlight w:val="none"/>
        </w:rPr>
      </w:pPr>
      <w:r>
        <w:rPr>
          <w:rFonts w:hint="eastAsia" w:ascii="仿宋_GB2312" w:hAnsi="仿宋" w:cs="宋体"/>
          <w:b/>
          <w:kern w:val="0"/>
          <w:szCs w:val="32"/>
          <w:highlight w:val="none"/>
        </w:rPr>
        <w:t>第二十八条</w:t>
      </w:r>
      <w:r>
        <w:rPr>
          <w:rFonts w:hint="eastAsia" w:ascii="仿宋_GB2312" w:hAnsi="仿宋" w:cs="宋体"/>
          <w:kern w:val="0"/>
          <w:szCs w:val="32"/>
          <w:highlight w:val="none"/>
        </w:rPr>
        <w:t xml:space="preserve"> 配合作业的人员，应在设备回转半径之外工作，如需进入设备回转半径之内时，必须停止设备回转并可靠制动，机上、机下人员密切联系。</w:t>
      </w:r>
    </w:p>
    <w:p>
      <w:pPr>
        <w:widowControl/>
        <w:adjustRightInd w:val="0"/>
        <w:snapToGrid w:val="0"/>
        <w:spacing w:line="336" w:lineRule="auto"/>
        <w:ind w:firstLine="643" w:firstLineChars="200"/>
        <w:rPr>
          <w:rFonts w:ascii="仿宋_GB2312" w:hAnsi="仿宋" w:cs="宋体"/>
          <w:kern w:val="0"/>
          <w:szCs w:val="32"/>
          <w:highlight w:val="none"/>
        </w:rPr>
      </w:pPr>
      <w:r>
        <w:rPr>
          <w:rFonts w:hint="eastAsia" w:ascii="仿宋_GB2312" w:hAnsi="仿宋" w:cs="宋体"/>
          <w:b/>
          <w:kern w:val="0"/>
          <w:szCs w:val="32"/>
          <w:highlight w:val="none"/>
        </w:rPr>
        <w:t>第二十九条</w:t>
      </w:r>
      <w:r>
        <w:rPr>
          <w:rFonts w:hint="eastAsia" w:ascii="仿宋_GB2312" w:hAnsi="仿宋" w:cs="宋体"/>
          <w:kern w:val="0"/>
          <w:szCs w:val="32"/>
          <w:highlight w:val="none"/>
        </w:rPr>
        <w:t xml:space="preserve"> 养护设备不得靠近架空输电线路作业，如限于现场条件，必须在靠近线路旁作业时，应采取安全措施。设备工作装置运动轨迹范围与架空导线的安全距离应符合有关规定。</w:t>
      </w:r>
    </w:p>
    <w:p>
      <w:pPr>
        <w:widowControl/>
        <w:adjustRightInd w:val="0"/>
        <w:snapToGrid w:val="0"/>
        <w:spacing w:line="336" w:lineRule="auto"/>
        <w:ind w:firstLine="643" w:firstLineChars="200"/>
        <w:rPr>
          <w:rFonts w:ascii="仿宋_GB2312" w:hAnsi="仿宋" w:cs="宋体"/>
          <w:kern w:val="0"/>
          <w:szCs w:val="32"/>
          <w:highlight w:val="none"/>
        </w:rPr>
      </w:pPr>
      <w:r>
        <w:rPr>
          <w:rFonts w:hint="eastAsia" w:ascii="仿宋_GB2312" w:hAnsi="仿宋" w:cs="宋体"/>
          <w:b/>
          <w:kern w:val="0"/>
          <w:szCs w:val="32"/>
          <w:highlight w:val="none"/>
        </w:rPr>
        <w:t>第三十条</w:t>
      </w:r>
      <w:r>
        <w:rPr>
          <w:rFonts w:hint="eastAsia" w:ascii="仿宋_GB2312" w:hAnsi="仿宋" w:cs="宋体"/>
          <w:kern w:val="0"/>
          <w:szCs w:val="32"/>
          <w:highlight w:val="none"/>
        </w:rPr>
        <w:t xml:space="preserve"> 夜间作业时，作业区内应有充足的照明；多班作业要严格执行交接班制度，交接班时要交待清楚设备的运转情况、润滑保养情况及作业技术要求等。</w:t>
      </w:r>
    </w:p>
    <w:p>
      <w:pPr>
        <w:widowControl/>
        <w:adjustRightInd w:val="0"/>
        <w:snapToGrid w:val="0"/>
        <w:spacing w:line="336" w:lineRule="auto"/>
        <w:ind w:firstLine="643" w:firstLineChars="200"/>
        <w:rPr>
          <w:rFonts w:ascii="仿宋_GB2312" w:hAnsi="仿宋" w:cs="宋体"/>
          <w:kern w:val="0"/>
          <w:szCs w:val="32"/>
          <w:highlight w:val="none"/>
        </w:rPr>
      </w:pPr>
      <w:r>
        <w:rPr>
          <w:rFonts w:hint="eastAsia" w:ascii="仿宋_GB2312" w:hAnsi="仿宋" w:cs="宋体"/>
          <w:b/>
          <w:kern w:val="0"/>
          <w:szCs w:val="32"/>
          <w:highlight w:val="none"/>
        </w:rPr>
        <w:t>第三十一条</w:t>
      </w:r>
      <w:r>
        <w:rPr>
          <w:rFonts w:hint="eastAsia" w:ascii="仿宋_GB2312" w:hAnsi="仿宋" w:cs="宋体"/>
          <w:kern w:val="0"/>
          <w:szCs w:val="32"/>
          <w:highlight w:val="none"/>
        </w:rPr>
        <w:t xml:space="preserve"> 养护设备在作业现场停放时，必须注意选择好停放地点，关闭好驾驶室，有驻车制动装置的要拉上；坡道上停机时，要打好掩木或石块；夜间应有专人看管。</w:t>
      </w:r>
    </w:p>
    <w:p>
      <w:pPr>
        <w:adjustRightInd w:val="0"/>
        <w:snapToGrid w:val="0"/>
        <w:spacing w:line="336" w:lineRule="auto"/>
        <w:ind w:firstLine="643" w:firstLineChars="200"/>
        <w:rPr>
          <w:rFonts w:ascii="仿宋_GB2312" w:hAnsi="仿宋" w:cs="宋体"/>
          <w:kern w:val="0"/>
          <w:szCs w:val="32"/>
          <w:highlight w:val="none"/>
        </w:rPr>
      </w:pPr>
      <w:r>
        <w:rPr>
          <w:rFonts w:hint="eastAsia" w:ascii="仿宋_GB2312" w:hAnsi="仿宋" w:cs="宋体"/>
          <w:b/>
          <w:kern w:val="0"/>
          <w:szCs w:val="32"/>
          <w:highlight w:val="none"/>
        </w:rPr>
        <w:t>第三十二条</w:t>
      </w:r>
      <w:r>
        <w:rPr>
          <w:rFonts w:hint="eastAsia" w:ascii="仿宋_GB2312" w:hAnsi="仿宋" w:cs="宋体"/>
          <w:kern w:val="0"/>
          <w:szCs w:val="32"/>
          <w:highlight w:val="none"/>
        </w:rPr>
        <w:t xml:space="preserve"> 禁止在养护设备运转中进行保养、修理作业；各种电气设备的检查维修，应停电作业。</w:t>
      </w:r>
    </w:p>
    <w:p>
      <w:pPr>
        <w:adjustRightInd w:val="0"/>
        <w:snapToGrid w:val="0"/>
        <w:spacing w:line="336" w:lineRule="auto"/>
        <w:ind w:firstLine="643"/>
        <w:jc w:val="center"/>
        <w:rPr>
          <w:rFonts w:ascii="黑体" w:hAnsi="黑体" w:eastAsia="黑体"/>
          <w:szCs w:val="32"/>
          <w:highlight w:val="none"/>
        </w:rPr>
      </w:pPr>
      <w:r>
        <w:rPr>
          <w:rFonts w:hint="eastAsia" w:ascii="黑体" w:hAnsi="黑体" w:eastAsia="黑体"/>
          <w:b/>
          <w:szCs w:val="32"/>
          <w:highlight w:val="none"/>
        </w:rPr>
        <w:t>第五章</w:t>
      </w:r>
      <w:r>
        <w:rPr>
          <w:rFonts w:hint="eastAsia" w:ascii="黑体" w:hAnsi="黑体" w:eastAsia="黑体"/>
          <w:szCs w:val="32"/>
          <w:highlight w:val="none"/>
        </w:rPr>
        <w:t xml:space="preserve"> 事故的分类和处理</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第三十三条</w:t>
      </w:r>
      <w:r>
        <w:rPr>
          <w:rFonts w:hint="eastAsia" w:ascii="仿宋_GB2312" w:hAnsi="仿宋"/>
          <w:szCs w:val="32"/>
          <w:highlight w:val="none"/>
        </w:rPr>
        <w:t xml:space="preserve"> 事故按其造成的危害和性质有工伤事故、交通事故和机械事故三大类。工伤事故和交通事故由承包人机械设备管理人员配合有关部门按规定处理。</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第三十四条</w:t>
      </w:r>
      <w:r>
        <w:rPr>
          <w:rFonts w:hint="eastAsia" w:ascii="仿宋_GB2312" w:hAnsi="仿宋"/>
          <w:szCs w:val="32"/>
          <w:highlight w:val="none"/>
        </w:rPr>
        <w:t xml:space="preserve"> 由于操作、维修、保管、管理、指挥、施工措施不当或其他原因引起的机械非正常损坏，造成机械技术性能降低或停产的均为机械事故。</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第三十五条</w:t>
      </w:r>
      <w:r>
        <w:rPr>
          <w:rFonts w:hint="eastAsia" w:ascii="仿宋_GB2312" w:hAnsi="仿宋"/>
          <w:szCs w:val="32"/>
          <w:highlight w:val="none"/>
        </w:rPr>
        <w:t xml:space="preserve"> 机械事故发生后，承包人机械设备管理人员应及时进行调查，分析事故发生的原因和损失情况，提出处理意见和预防措施，并按规定上报。</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第三十六条</w:t>
      </w:r>
      <w:r>
        <w:rPr>
          <w:rFonts w:hint="eastAsia" w:ascii="仿宋_GB2312" w:hAnsi="仿宋"/>
          <w:szCs w:val="32"/>
          <w:highlight w:val="none"/>
        </w:rPr>
        <w:t xml:space="preserve"> 对责任事故要按三不放过（原因不清不放过，责任者未经处理和群众未受教育不放过，没有防范措施不放过）的原则，严肃处理。</w:t>
      </w:r>
    </w:p>
    <w:p>
      <w:pPr>
        <w:adjustRightInd w:val="0"/>
        <w:snapToGrid w:val="0"/>
        <w:spacing w:line="336" w:lineRule="auto"/>
        <w:ind w:firstLine="640" w:firstLineChars="200"/>
        <w:rPr>
          <w:rFonts w:ascii="仿宋_GB2312" w:hAnsi="仿宋"/>
          <w:szCs w:val="32"/>
          <w:highlight w:val="none"/>
        </w:rPr>
      </w:pPr>
    </w:p>
    <w:p>
      <w:pPr>
        <w:adjustRightInd w:val="0"/>
        <w:snapToGrid w:val="0"/>
        <w:spacing w:line="336" w:lineRule="auto"/>
        <w:jc w:val="center"/>
        <w:rPr>
          <w:rFonts w:ascii="黑体" w:hAnsi="黑体" w:eastAsia="黑体"/>
          <w:b/>
          <w:szCs w:val="32"/>
          <w:highlight w:val="none"/>
        </w:rPr>
      </w:pPr>
      <w:r>
        <w:rPr>
          <w:rFonts w:hint="eastAsia" w:ascii="黑体" w:hAnsi="黑体" w:eastAsia="黑体"/>
          <w:b/>
          <w:szCs w:val="32"/>
          <w:highlight w:val="none"/>
        </w:rPr>
        <w:t>第六章 甲供设备</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第三十七条</w:t>
      </w:r>
      <w:r>
        <w:rPr>
          <w:rFonts w:hint="eastAsia" w:ascii="仿宋_GB2312" w:hAnsi="仿宋"/>
          <w:szCs w:val="32"/>
          <w:highlight w:val="none"/>
        </w:rPr>
        <w:t xml:space="preserve"> 本办法所称的甲供设备，是指产权属业主所有，按照养护招投标约定提供给承包人使用并相应收取使用费（各类设备使用费标准另行制定）的养护设备。</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第三十八条</w:t>
      </w:r>
      <w:r>
        <w:rPr>
          <w:rFonts w:hint="eastAsia" w:ascii="仿宋_GB2312" w:hAnsi="仿宋"/>
          <w:szCs w:val="32"/>
          <w:highlight w:val="none"/>
        </w:rPr>
        <w:t>甲供设备交付进场前，由业主驻地代表与承包人共同签订甲供设备使用协议，明确双方的责任和义务。</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第三十九条</w:t>
      </w:r>
      <w:r>
        <w:rPr>
          <w:rFonts w:hint="eastAsia" w:ascii="仿宋_GB2312" w:hAnsi="仿宋"/>
          <w:szCs w:val="32"/>
          <w:highlight w:val="none"/>
        </w:rPr>
        <w:t xml:space="preserve"> 未经业主同意，承包人不得随意增加或减少设备部件，也不得以任何理由对设备进行转租、抵押、抵债或者变相转卖，否则由此造成的全部后果由承包人承担。</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第四十条</w:t>
      </w:r>
      <w:r>
        <w:rPr>
          <w:rFonts w:hint="eastAsia" w:ascii="仿宋_GB2312" w:hAnsi="仿宋"/>
          <w:szCs w:val="32"/>
          <w:highlight w:val="none"/>
        </w:rPr>
        <w:t>甲供期满后，承包人</w:t>
      </w:r>
      <w:r>
        <w:rPr>
          <w:rFonts w:hint="eastAsia" w:ascii="仿宋_GB2312" w:hAnsi="仿宋"/>
          <w:szCs w:val="32"/>
          <w:highlight w:val="none"/>
          <w:u w:val="single"/>
        </w:rPr>
        <w:t>应相应</w:t>
      </w:r>
      <w:r>
        <w:rPr>
          <w:rFonts w:hint="eastAsia" w:ascii="仿宋_GB2312" w:hAnsi="仿宋"/>
          <w:szCs w:val="32"/>
          <w:highlight w:val="none"/>
        </w:rPr>
        <w:t>归还协议所列设备，并保证设备处于完好、可用状态。业主有权指定专业机构对设备进行检修，以确保设备回收后能够正常使用，所需的费用由承包人承担。</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第四十一条</w:t>
      </w:r>
      <w:r>
        <w:rPr>
          <w:rFonts w:hint="eastAsia" w:ascii="仿宋_GB2312" w:hAnsi="仿宋"/>
          <w:szCs w:val="32"/>
          <w:highlight w:val="none"/>
        </w:rPr>
        <w:t xml:space="preserve"> 如遇政策调整或项目实施的客观情况发生重大变化，致业主无法继续履行协议的，业主有权提前终止协议并收回全部设备，承包人应无条件配合，设备使用费按实际使用时间计提。</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 xml:space="preserve">第四十二条 </w:t>
      </w:r>
      <w:r>
        <w:rPr>
          <w:rFonts w:hint="eastAsia" w:ascii="仿宋_GB2312" w:hAnsi="仿宋"/>
          <w:szCs w:val="32"/>
          <w:highlight w:val="none"/>
        </w:rPr>
        <w:t>协议期内，若甲供设备无法满足作业要求，经承包人申请，业主可收回此设备，并不再收取此设备使用费，承包人应按要求无条件补充对应的满足作业要求的设备。</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第四十三条</w:t>
      </w:r>
      <w:r>
        <w:rPr>
          <w:rFonts w:hint="eastAsia" w:ascii="仿宋_GB2312" w:hAnsi="仿宋"/>
          <w:szCs w:val="32"/>
          <w:highlight w:val="none"/>
        </w:rPr>
        <w:t xml:space="preserve"> 当甲供设备超过使用年限且无法满足作业条件时，承包人可申请退还此设备，经业主同意退回后，按要求无条件补充对应的满足作业要求的设备，业主不再收取此设备使用费。</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第四十四条</w:t>
      </w:r>
      <w:r>
        <w:rPr>
          <w:rFonts w:hint="eastAsia" w:ascii="仿宋_GB2312" w:hAnsi="仿宋"/>
          <w:szCs w:val="32"/>
          <w:highlight w:val="none"/>
        </w:rPr>
        <w:t xml:space="preserve"> 协议期内，承包人应妥善保管好甲供设备，做好维修和保养工作，因承包人过错原因导致甲供设备损毁、丢失或提前报废的，其责任由承包人完全承担，须赔偿业主所有损失，并按要求无条件补充对应的满足作业要求的设备，业主不再收取此设备使用费。</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第四十五条</w:t>
      </w:r>
      <w:r>
        <w:rPr>
          <w:rFonts w:hint="eastAsia" w:ascii="仿宋_GB2312" w:hAnsi="仿宋"/>
          <w:szCs w:val="32"/>
          <w:highlight w:val="none"/>
        </w:rPr>
        <w:t xml:space="preserve"> 如遇抢险救灾或重大保障活动等特殊任务时，业主需调用甲供设备的，承包人应无条件配合。</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 xml:space="preserve">第四十六条 </w:t>
      </w:r>
      <w:r>
        <w:rPr>
          <w:rFonts w:hint="eastAsia" w:ascii="仿宋_GB2312" w:hAnsi="仿宋"/>
          <w:szCs w:val="32"/>
          <w:highlight w:val="none"/>
        </w:rPr>
        <w:t>承包人应按要求到市机关事务管理局招标确定的市直行政事业单位机动车辆定点维修中标单位或设备原生产厂家、厂家授权的维修单位进行甲供设备的维修与保养工作。</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第四十七条</w:t>
      </w:r>
      <w:r>
        <w:rPr>
          <w:rFonts w:hint="eastAsia" w:ascii="仿宋_GB2312" w:hAnsi="仿宋"/>
          <w:szCs w:val="32"/>
          <w:highlight w:val="none"/>
        </w:rPr>
        <w:t>甲供设备在维修前，承包人应知会业主，并于维修后告知业主设备维修内容和更换的零配件，并做好详细的维修记录：维修时间、维修地点（厂家）、维修项目、维修更换材料、维修金额等。</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第四十八条</w:t>
      </w:r>
      <w:r>
        <w:rPr>
          <w:rFonts w:hint="eastAsia" w:ascii="仿宋_GB2312" w:hAnsi="仿宋"/>
          <w:szCs w:val="32"/>
          <w:highlight w:val="none"/>
        </w:rPr>
        <w:t xml:space="preserve"> 承包人应严格按照设备要求做好保养工作，并做好保养记录：保养时间、保养地点（厂家）、保养项目、保养耗材、保养金额等。</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第四十九条</w:t>
      </w:r>
      <w:r>
        <w:rPr>
          <w:rFonts w:hint="eastAsia" w:ascii="仿宋_GB2312" w:hAnsi="仿宋"/>
          <w:szCs w:val="32"/>
          <w:highlight w:val="none"/>
        </w:rPr>
        <w:t xml:space="preserve"> 协议期内所发生的与甲供设备有关的一切税、费和法律责任由承包人完全承担。</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第五十条</w:t>
      </w:r>
      <w:r>
        <w:rPr>
          <w:rFonts w:hint="eastAsia" w:ascii="仿宋_GB2312" w:hAnsi="仿宋"/>
          <w:szCs w:val="32"/>
          <w:highlight w:val="none"/>
        </w:rPr>
        <w:t xml:space="preserve"> 在道路上作业行驶的养护设备，承包人应严格按规定缴交足额保险，其中第三者责任险应不少于150万元。</w:t>
      </w:r>
    </w:p>
    <w:p>
      <w:pPr>
        <w:adjustRightInd w:val="0"/>
        <w:snapToGrid w:val="0"/>
        <w:spacing w:line="336" w:lineRule="auto"/>
        <w:jc w:val="center"/>
        <w:rPr>
          <w:rFonts w:ascii="黑体" w:hAnsi="黑体" w:eastAsia="黑体"/>
          <w:szCs w:val="32"/>
          <w:highlight w:val="none"/>
        </w:rPr>
      </w:pPr>
      <w:r>
        <w:rPr>
          <w:rFonts w:hint="eastAsia" w:ascii="黑体" w:hAnsi="黑体" w:eastAsia="黑体"/>
          <w:szCs w:val="32"/>
          <w:highlight w:val="none"/>
        </w:rPr>
        <w:t>第七章 附则</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第五十一条</w:t>
      </w:r>
      <w:r>
        <w:rPr>
          <w:rFonts w:hint="eastAsia" w:ascii="仿宋_GB2312" w:hAnsi="仿宋"/>
          <w:szCs w:val="32"/>
          <w:highlight w:val="none"/>
        </w:rPr>
        <w:t xml:space="preserve"> 业主或业主代表将定期或不定期地对养护设备管理进行检查考核和业务指导，对设备管理混乱、擅自处置设备及发生机械事故的，情节较轻的，每次（项）扣款2000元；情节较重的，每次（项）扣款5000元；情节严重并对业主单位声誉造成影响的，每次（项）扣款10000元。 </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 xml:space="preserve">第五十二条 </w:t>
      </w:r>
      <w:r>
        <w:rPr>
          <w:rFonts w:hint="eastAsia" w:ascii="仿宋_GB2312" w:hAnsi="仿宋"/>
          <w:szCs w:val="32"/>
          <w:highlight w:val="none"/>
        </w:rPr>
        <w:t>承包人应加强对养护设备特别是在道路上作业行驶的养护设备操作人员的教育管理，督促其遵守交通规则，文明驾驶，发现违章或存在不文明驾驶行为的，每次扣款500元；情节严重的，扣款加倍。</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b/>
          <w:szCs w:val="32"/>
          <w:highlight w:val="none"/>
        </w:rPr>
        <w:t>第五十三条</w:t>
      </w:r>
      <w:r>
        <w:rPr>
          <w:rFonts w:hint="eastAsia" w:ascii="仿宋_GB2312" w:hAnsi="仿宋"/>
          <w:szCs w:val="32"/>
          <w:highlight w:val="none"/>
        </w:rPr>
        <w:t xml:space="preserve"> 承包人应自觉接受业主或业主驻地代表的检查、督促和考核；对于检查中发现的问题应及时整改并书面反馈。</w:t>
      </w:r>
    </w:p>
    <w:p>
      <w:pPr>
        <w:adjustRightInd w:val="0"/>
        <w:snapToGrid w:val="0"/>
        <w:spacing w:line="336" w:lineRule="auto"/>
        <w:ind w:firstLine="643" w:firstLineChars="200"/>
        <w:rPr>
          <w:rFonts w:ascii="仿宋_GB2312" w:hAnsi="仿宋"/>
          <w:szCs w:val="32"/>
          <w:highlight w:val="none"/>
        </w:rPr>
      </w:pPr>
      <w:r>
        <w:rPr>
          <w:rFonts w:hint="eastAsia" w:ascii="仿宋_GB2312" w:hAnsi="仿宋" w:cs="宋体"/>
          <w:b/>
          <w:kern w:val="0"/>
          <w:szCs w:val="32"/>
          <w:highlight w:val="none"/>
        </w:rPr>
        <w:t>第五十</w:t>
      </w:r>
      <w:r>
        <w:rPr>
          <w:rFonts w:hint="eastAsia" w:ascii="仿宋_GB2312" w:hAnsi="仿宋"/>
          <w:b/>
          <w:szCs w:val="32"/>
          <w:highlight w:val="none"/>
        </w:rPr>
        <w:t>四</w:t>
      </w:r>
      <w:r>
        <w:rPr>
          <w:rFonts w:hint="eastAsia" w:ascii="仿宋_GB2312" w:hAnsi="仿宋" w:cs="宋体"/>
          <w:b/>
          <w:kern w:val="0"/>
          <w:szCs w:val="32"/>
          <w:highlight w:val="none"/>
        </w:rPr>
        <w:t xml:space="preserve">条 </w:t>
      </w:r>
      <w:r>
        <w:rPr>
          <w:rFonts w:hint="eastAsia" w:ascii="仿宋_GB2312" w:hAnsi="仿宋"/>
          <w:szCs w:val="32"/>
          <w:highlight w:val="none"/>
        </w:rPr>
        <w:t>违反本办法或招标文件有关养护设备的规定，条款中有明确扣款额度的，从其规定；未明确扣款额度的，每项扣款500元；情节较重的，每项扣款2000元；情节严重的，每项扣款5000元。</w:t>
      </w:r>
    </w:p>
    <w:p>
      <w:pPr>
        <w:snapToGrid w:val="0"/>
        <w:spacing w:line="336" w:lineRule="auto"/>
        <w:ind w:firstLine="630" w:firstLineChars="196"/>
        <w:rPr>
          <w:rFonts w:ascii="仿宋_GB2312" w:hAnsi="仿宋"/>
          <w:szCs w:val="32"/>
          <w:highlight w:val="none"/>
        </w:rPr>
      </w:pPr>
      <w:r>
        <w:rPr>
          <w:rFonts w:hint="eastAsia" w:ascii="仿宋_GB2312" w:hAnsi="仿宋"/>
          <w:b/>
          <w:szCs w:val="32"/>
          <w:highlight w:val="none"/>
        </w:rPr>
        <w:t xml:space="preserve">第五十五条 </w:t>
      </w:r>
      <w:r>
        <w:rPr>
          <w:rFonts w:ascii="仿宋_GB2312" w:hAnsi="仿宋"/>
          <w:szCs w:val="32"/>
          <w:highlight w:val="none"/>
        </w:rPr>
        <w:t>本办法在实施过程中,法律</w:t>
      </w:r>
      <w:r>
        <w:rPr>
          <w:rFonts w:hint="eastAsia" w:ascii="仿宋_GB2312" w:hAnsi="仿宋"/>
          <w:szCs w:val="32"/>
          <w:highlight w:val="none"/>
        </w:rPr>
        <w:t>、</w:t>
      </w:r>
      <w:r>
        <w:rPr>
          <w:rFonts w:ascii="仿宋_GB2312" w:hAnsi="仿宋"/>
          <w:szCs w:val="32"/>
          <w:highlight w:val="none"/>
        </w:rPr>
        <w:t>法规和规章</w:t>
      </w:r>
      <w:r>
        <w:rPr>
          <w:rFonts w:hint="eastAsia" w:ascii="仿宋_GB2312" w:hAnsi="仿宋"/>
          <w:szCs w:val="32"/>
          <w:highlight w:val="none"/>
        </w:rPr>
        <w:t>以及上级部门制度</w:t>
      </w:r>
      <w:r>
        <w:rPr>
          <w:rFonts w:ascii="仿宋_GB2312" w:hAnsi="仿宋"/>
          <w:szCs w:val="32"/>
          <w:highlight w:val="none"/>
        </w:rPr>
        <w:t>另有规定的,从其规定</w:t>
      </w:r>
      <w:r>
        <w:rPr>
          <w:rFonts w:hint="eastAsia" w:ascii="仿宋_GB2312" w:hAnsi="仿宋"/>
          <w:szCs w:val="32"/>
          <w:highlight w:val="none"/>
        </w:rPr>
        <w:t>。</w:t>
      </w:r>
    </w:p>
    <w:p>
      <w:pPr>
        <w:snapToGrid w:val="0"/>
        <w:spacing w:line="336" w:lineRule="auto"/>
        <w:ind w:firstLine="627" w:firstLineChars="196"/>
        <w:rPr>
          <w:rFonts w:ascii="仿宋_GB2312" w:hAnsi="仿宋"/>
          <w:szCs w:val="32"/>
          <w:highlight w:val="none"/>
        </w:rPr>
        <w:sectPr>
          <w:pgSz w:w="11907" w:h="16840"/>
          <w:pgMar w:top="2098" w:right="1474" w:bottom="1985" w:left="1588" w:header="1021" w:footer="1021" w:gutter="0"/>
          <w:cols w:space="425" w:num="1"/>
          <w:docGrid w:linePitch="435" w:charSpace="39"/>
        </w:sectPr>
      </w:pPr>
    </w:p>
    <w:p>
      <w:pPr>
        <w:rPr>
          <w:rFonts w:ascii="仿宋" w:hAnsi="仿宋" w:eastAsia="仿宋"/>
          <w:sz w:val="24"/>
          <w:highlight w:val="none"/>
        </w:rPr>
      </w:pPr>
      <w:r>
        <w:rPr>
          <w:rFonts w:hint="eastAsia" w:ascii="仿宋" w:hAnsi="仿宋" w:eastAsia="仿宋"/>
          <w:sz w:val="24"/>
          <w:highlight w:val="none"/>
        </w:rPr>
        <w:t>附件1：厦门市公路事业发展中心养护机械设备调查表</w:t>
      </w:r>
    </w:p>
    <w:p>
      <w:pPr>
        <w:rPr>
          <w:rFonts w:ascii="仿宋" w:hAnsi="仿宋" w:eastAsia="仿宋"/>
          <w:sz w:val="24"/>
          <w:highlight w:val="none"/>
        </w:rPr>
      </w:pPr>
    </w:p>
    <w:tbl>
      <w:tblPr>
        <w:tblStyle w:val="5"/>
        <w:tblW w:w="13907" w:type="dxa"/>
        <w:tblInd w:w="93" w:type="dxa"/>
        <w:tblLayout w:type="fixed"/>
        <w:tblCellMar>
          <w:top w:w="0" w:type="dxa"/>
          <w:left w:w="108" w:type="dxa"/>
          <w:bottom w:w="0" w:type="dxa"/>
          <w:right w:w="108" w:type="dxa"/>
        </w:tblCellMar>
      </w:tblPr>
      <w:tblGrid>
        <w:gridCol w:w="814"/>
        <w:gridCol w:w="1753"/>
        <w:gridCol w:w="1701"/>
        <w:gridCol w:w="1559"/>
        <w:gridCol w:w="1559"/>
        <w:gridCol w:w="1276"/>
        <w:gridCol w:w="1134"/>
        <w:gridCol w:w="1418"/>
        <w:gridCol w:w="850"/>
        <w:gridCol w:w="1134"/>
        <w:gridCol w:w="709"/>
      </w:tblGrid>
      <w:tr>
        <w:tblPrEx>
          <w:tblCellMar>
            <w:top w:w="0" w:type="dxa"/>
            <w:left w:w="108" w:type="dxa"/>
            <w:bottom w:w="0" w:type="dxa"/>
            <w:right w:w="108" w:type="dxa"/>
          </w:tblCellMar>
        </w:tblPrEx>
        <w:trPr>
          <w:trHeight w:val="990" w:hRule="atLeast"/>
        </w:trPr>
        <w:tc>
          <w:tcPr>
            <w:tcW w:w="814" w:type="dxa"/>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序号</w:t>
            </w:r>
          </w:p>
        </w:tc>
        <w:tc>
          <w:tcPr>
            <w:tcW w:w="175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设备所属单位</w:t>
            </w:r>
          </w:p>
        </w:tc>
        <w:tc>
          <w:tcPr>
            <w:tcW w:w="1701"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highlight w:val="none"/>
              </w:rPr>
            </w:pPr>
            <w:r>
              <w:rPr>
                <w:rFonts w:hint="eastAsia" w:ascii="宋体" w:hAnsi="宋体" w:cs="宋体"/>
                <w:kern w:val="0"/>
                <w:sz w:val="20"/>
                <w:szCs w:val="20"/>
                <w:highlight w:val="none"/>
              </w:rPr>
              <w:t>设备名称</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车牌号</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规格型号</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制造厂家</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购置年月</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原值(元)</w:t>
            </w: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设备责任人</w:t>
            </w:r>
          </w:p>
        </w:tc>
        <w:tc>
          <w:tcPr>
            <w:tcW w:w="1134"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highlight w:val="none"/>
              </w:rPr>
            </w:pPr>
            <w:r>
              <w:rPr>
                <w:rFonts w:hint="eastAsia" w:ascii="宋体" w:hAnsi="宋体" w:cs="宋体"/>
                <w:kern w:val="0"/>
                <w:sz w:val="20"/>
                <w:szCs w:val="20"/>
                <w:highlight w:val="none"/>
              </w:rPr>
              <w:t>联系方式</w:t>
            </w:r>
          </w:p>
        </w:tc>
        <w:tc>
          <w:tcPr>
            <w:tcW w:w="709"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highlight w:val="none"/>
              </w:rPr>
            </w:pPr>
            <w:r>
              <w:rPr>
                <w:rFonts w:hint="eastAsia" w:ascii="宋体" w:hAnsi="宋体" w:cs="宋体"/>
                <w:kern w:val="0"/>
                <w:sz w:val="20"/>
                <w:szCs w:val="20"/>
                <w:highlight w:val="none"/>
              </w:rPr>
              <w:t>备注</w:t>
            </w:r>
          </w:p>
        </w:tc>
      </w:tr>
      <w:tr>
        <w:tblPrEx>
          <w:tblCellMar>
            <w:top w:w="0" w:type="dxa"/>
            <w:left w:w="108" w:type="dxa"/>
            <w:bottom w:w="0" w:type="dxa"/>
            <w:right w:w="108" w:type="dxa"/>
          </w:tblCellMar>
        </w:tblPrEx>
        <w:trPr>
          <w:trHeight w:val="640" w:hRule="atLeast"/>
        </w:trPr>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75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701"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640" w:hRule="atLeast"/>
        </w:trPr>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75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701"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640" w:hRule="atLeast"/>
        </w:trPr>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75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701"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640" w:hRule="atLeast"/>
        </w:trPr>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75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701"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640" w:hRule="atLeast"/>
        </w:trPr>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75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701"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640" w:hRule="atLeast"/>
        </w:trPr>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75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701"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640" w:hRule="atLeast"/>
        </w:trPr>
        <w:tc>
          <w:tcPr>
            <w:tcW w:w="8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75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701"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r>
    </w:tbl>
    <w:p>
      <w:pPr>
        <w:rPr>
          <w:highlight w:val="none"/>
        </w:rPr>
        <w:sectPr>
          <w:pgSz w:w="16838" w:h="11906" w:orient="landscape"/>
          <w:pgMar w:top="1800" w:right="1440" w:bottom="1800" w:left="1440" w:header="851" w:footer="992" w:gutter="0"/>
          <w:cols w:space="720" w:num="1"/>
          <w:docGrid w:type="lines" w:linePitch="312" w:charSpace="0"/>
        </w:sectPr>
      </w:pPr>
    </w:p>
    <w:p>
      <w:pPr>
        <w:rPr>
          <w:rFonts w:ascii="仿宋" w:hAnsi="仿宋" w:eastAsia="仿宋"/>
          <w:sz w:val="24"/>
          <w:highlight w:val="none"/>
        </w:rPr>
      </w:pPr>
      <w:bookmarkStart w:id="1" w:name="_Toc23978249"/>
      <w:bookmarkStart w:id="2" w:name="_Toc57312466"/>
      <w:r>
        <w:rPr>
          <w:rFonts w:hint="eastAsia" w:ascii="仿宋" w:hAnsi="仿宋" w:eastAsia="仿宋"/>
          <w:sz w:val="24"/>
          <w:highlight w:val="none"/>
        </w:rPr>
        <w:t>附件2 机械车辆费用标准表</w:t>
      </w:r>
    </w:p>
    <w:p>
      <w:pPr>
        <w:widowControl/>
        <w:jc w:val="left"/>
        <w:rPr>
          <w:b/>
          <w:szCs w:val="32"/>
          <w:highlight w:val="none"/>
        </w:rPr>
      </w:pPr>
    </w:p>
    <w:tbl>
      <w:tblPr>
        <w:tblStyle w:val="5"/>
        <w:tblW w:w="8230" w:type="dxa"/>
        <w:jc w:val="center"/>
        <w:tblLayout w:type="fixed"/>
        <w:tblCellMar>
          <w:top w:w="0" w:type="dxa"/>
          <w:left w:w="108" w:type="dxa"/>
          <w:bottom w:w="0" w:type="dxa"/>
          <w:right w:w="108" w:type="dxa"/>
        </w:tblCellMar>
      </w:tblPr>
      <w:tblGrid>
        <w:gridCol w:w="1112"/>
        <w:gridCol w:w="2894"/>
        <w:gridCol w:w="1386"/>
        <w:gridCol w:w="1080"/>
        <w:gridCol w:w="1758"/>
      </w:tblGrid>
      <w:tr>
        <w:tblPrEx>
          <w:tblCellMar>
            <w:top w:w="0" w:type="dxa"/>
            <w:left w:w="108" w:type="dxa"/>
            <w:bottom w:w="0" w:type="dxa"/>
            <w:right w:w="108" w:type="dxa"/>
          </w:tblCellMar>
        </w:tblPrEx>
        <w:trPr>
          <w:trHeight w:val="525"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序号</w:t>
            </w:r>
          </w:p>
        </w:tc>
        <w:tc>
          <w:tcPr>
            <w:tcW w:w="289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机械设备名称</w:t>
            </w:r>
          </w:p>
        </w:tc>
        <w:tc>
          <w:tcPr>
            <w:tcW w:w="138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月经费</w:t>
            </w:r>
          </w:p>
        </w:tc>
        <w:tc>
          <w:tcPr>
            <w:tcW w:w="10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日经费</w:t>
            </w:r>
          </w:p>
        </w:tc>
        <w:tc>
          <w:tcPr>
            <w:tcW w:w="175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备注</w:t>
            </w:r>
          </w:p>
        </w:tc>
      </w:tr>
      <w:tr>
        <w:tblPrEx>
          <w:tblCellMar>
            <w:top w:w="0" w:type="dxa"/>
            <w:left w:w="108" w:type="dxa"/>
            <w:bottom w:w="0" w:type="dxa"/>
            <w:right w:w="108" w:type="dxa"/>
          </w:tblCellMar>
        </w:tblPrEx>
        <w:trPr>
          <w:trHeight w:val="525" w:hRule="atLeast"/>
          <w:jc w:val="center"/>
        </w:trPr>
        <w:tc>
          <w:tcPr>
            <w:tcW w:w="111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1</w:t>
            </w:r>
          </w:p>
        </w:tc>
        <w:tc>
          <w:tcPr>
            <w:tcW w:w="289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自卸车（工程车）</w:t>
            </w:r>
          </w:p>
        </w:tc>
        <w:tc>
          <w:tcPr>
            <w:tcW w:w="138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 xml:space="preserve">11644 </w:t>
            </w:r>
          </w:p>
        </w:tc>
        <w:tc>
          <w:tcPr>
            <w:tcW w:w="108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 xml:space="preserve">388 </w:t>
            </w:r>
          </w:p>
        </w:tc>
        <w:tc>
          <w:tcPr>
            <w:tcW w:w="1758"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p>
        </w:tc>
      </w:tr>
      <w:tr>
        <w:tblPrEx>
          <w:tblCellMar>
            <w:top w:w="0" w:type="dxa"/>
            <w:left w:w="108" w:type="dxa"/>
            <w:bottom w:w="0" w:type="dxa"/>
            <w:right w:w="108" w:type="dxa"/>
          </w:tblCellMar>
        </w:tblPrEx>
        <w:trPr>
          <w:trHeight w:val="525" w:hRule="atLeast"/>
          <w:jc w:val="center"/>
        </w:trPr>
        <w:tc>
          <w:tcPr>
            <w:tcW w:w="111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2</w:t>
            </w:r>
          </w:p>
        </w:tc>
        <w:tc>
          <w:tcPr>
            <w:tcW w:w="289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小型高压清洗车（小钢炮）</w:t>
            </w:r>
          </w:p>
        </w:tc>
        <w:tc>
          <w:tcPr>
            <w:tcW w:w="138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 xml:space="preserve">12738 </w:t>
            </w:r>
          </w:p>
        </w:tc>
        <w:tc>
          <w:tcPr>
            <w:tcW w:w="108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 xml:space="preserve">425 </w:t>
            </w:r>
          </w:p>
        </w:tc>
        <w:tc>
          <w:tcPr>
            <w:tcW w:w="1758"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p>
        </w:tc>
      </w:tr>
      <w:tr>
        <w:tblPrEx>
          <w:tblCellMar>
            <w:top w:w="0" w:type="dxa"/>
            <w:left w:w="108" w:type="dxa"/>
            <w:bottom w:w="0" w:type="dxa"/>
            <w:right w:w="108" w:type="dxa"/>
          </w:tblCellMar>
        </w:tblPrEx>
        <w:trPr>
          <w:trHeight w:val="525" w:hRule="atLeast"/>
          <w:jc w:val="center"/>
        </w:trPr>
        <w:tc>
          <w:tcPr>
            <w:tcW w:w="111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3</w:t>
            </w:r>
          </w:p>
        </w:tc>
        <w:tc>
          <w:tcPr>
            <w:tcW w:w="289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10T普通水车（加装智能水炮）</w:t>
            </w:r>
          </w:p>
        </w:tc>
        <w:tc>
          <w:tcPr>
            <w:tcW w:w="138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 xml:space="preserve">14081 </w:t>
            </w:r>
          </w:p>
        </w:tc>
        <w:tc>
          <w:tcPr>
            <w:tcW w:w="108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 xml:space="preserve">469 </w:t>
            </w:r>
          </w:p>
        </w:tc>
        <w:tc>
          <w:tcPr>
            <w:tcW w:w="1758"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p>
        </w:tc>
      </w:tr>
      <w:tr>
        <w:tblPrEx>
          <w:tblCellMar>
            <w:top w:w="0" w:type="dxa"/>
            <w:left w:w="108" w:type="dxa"/>
            <w:bottom w:w="0" w:type="dxa"/>
            <w:right w:w="108" w:type="dxa"/>
          </w:tblCellMar>
        </w:tblPrEx>
        <w:trPr>
          <w:trHeight w:val="525" w:hRule="atLeast"/>
          <w:jc w:val="center"/>
        </w:trPr>
        <w:tc>
          <w:tcPr>
            <w:tcW w:w="111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4</w:t>
            </w:r>
          </w:p>
        </w:tc>
        <w:tc>
          <w:tcPr>
            <w:tcW w:w="289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3T清扫车</w:t>
            </w:r>
          </w:p>
        </w:tc>
        <w:tc>
          <w:tcPr>
            <w:tcW w:w="138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 xml:space="preserve">20658 </w:t>
            </w:r>
          </w:p>
        </w:tc>
        <w:tc>
          <w:tcPr>
            <w:tcW w:w="108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 xml:space="preserve">689 </w:t>
            </w:r>
          </w:p>
        </w:tc>
        <w:tc>
          <w:tcPr>
            <w:tcW w:w="1758"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p>
        </w:tc>
      </w:tr>
      <w:tr>
        <w:tblPrEx>
          <w:tblCellMar>
            <w:top w:w="0" w:type="dxa"/>
            <w:left w:w="108" w:type="dxa"/>
            <w:bottom w:w="0" w:type="dxa"/>
            <w:right w:w="108" w:type="dxa"/>
          </w:tblCellMar>
        </w:tblPrEx>
        <w:trPr>
          <w:trHeight w:val="525" w:hRule="atLeast"/>
          <w:jc w:val="center"/>
        </w:trPr>
        <w:tc>
          <w:tcPr>
            <w:tcW w:w="111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5</w:t>
            </w:r>
          </w:p>
        </w:tc>
        <w:tc>
          <w:tcPr>
            <w:tcW w:w="289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8T清扫车</w:t>
            </w:r>
          </w:p>
        </w:tc>
        <w:tc>
          <w:tcPr>
            <w:tcW w:w="138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 xml:space="preserve">30463 </w:t>
            </w:r>
          </w:p>
        </w:tc>
        <w:tc>
          <w:tcPr>
            <w:tcW w:w="108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 xml:space="preserve">1015 </w:t>
            </w:r>
          </w:p>
        </w:tc>
        <w:tc>
          <w:tcPr>
            <w:tcW w:w="1758"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p>
        </w:tc>
      </w:tr>
      <w:tr>
        <w:tblPrEx>
          <w:tblCellMar>
            <w:top w:w="0" w:type="dxa"/>
            <w:left w:w="108" w:type="dxa"/>
            <w:bottom w:w="0" w:type="dxa"/>
            <w:right w:w="108" w:type="dxa"/>
          </w:tblCellMar>
        </w:tblPrEx>
        <w:trPr>
          <w:trHeight w:val="525" w:hRule="atLeast"/>
          <w:jc w:val="center"/>
        </w:trPr>
        <w:tc>
          <w:tcPr>
            <w:tcW w:w="111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6</w:t>
            </w:r>
          </w:p>
        </w:tc>
        <w:tc>
          <w:tcPr>
            <w:tcW w:w="289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8T洗扫车</w:t>
            </w:r>
          </w:p>
        </w:tc>
        <w:tc>
          <w:tcPr>
            <w:tcW w:w="138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 xml:space="preserve">32277 </w:t>
            </w:r>
          </w:p>
        </w:tc>
        <w:tc>
          <w:tcPr>
            <w:tcW w:w="108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 xml:space="preserve">1076 </w:t>
            </w:r>
          </w:p>
        </w:tc>
        <w:tc>
          <w:tcPr>
            <w:tcW w:w="1758"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p>
        </w:tc>
      </w:tr>
      <w:tr>
        <w:tblPrEx>
          <w:tblCellMar>
            <w:top w:w="0" w:type="dxa"/>
            <w:left w:w="108" w:type="dxa"/>
            <w:bottom w:w="0" w:type="dxa"/>
            <w:right w:w="108" w:type="dxa"/>
          </w:tblCellMar>
        </w:tblPrEx>
        <w:trPr>
          <w:trHeight w:val="525" w:hRule="atLeast"/>
          <w:jc w:val="center"/>
        </w:trPr>
        <w:tc>
          <w:tcPr>
            <w:tcW w:w="111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7</w:t>
            </w:r>
          </w:p>
        </w:tc>
        <w:tc>
          <w:tcPr>
            <w:tcW w:w="289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8T垃圾转运车</w:t>
            </w:r>
          </w:p>
        </w:tc>
        <w:tc>
          <w:tcPr>
            <w:tcW w:w="138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 xml:space="preserve">18184 </w:t>
            </w:r>
          </w:p>
        </w:tc>
        <w:tc>
          <w:tcPr>
            <w:tcW w:w="108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 xml:space="preserve">606 </w:t>
            </w:r>
          </w:p>
        </w:tc>
        <w:tc>
          <w:tcPr>
            <w:tcW w:w="1758"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p>
        </w:tc>
      </w:tr>
      <w:tr>
        <w:tblPrEx>
          <w:tblCellMar>
            <w:top w:w="0" w:type="dxa"/>
            <w:left w:w="108" w:type="dxa"/>
            <w:bottom w:w="0" w:type="dxa"/>
            <w:right w:w="108" w:type="dxa"/>
          </w:tblCellMar>
        </w:tblPrEx>
        <w:trPr>
          <w:trHeight w:val="525" w:hRule="atLeast"/>
          <w:jc w:val="center"/>
        </w:trPr>
        <w:tc>
          <w:tcPr>
            <w:tcW w:w="111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8</w:t>
            </w:r>
          </w:p>
        </w:tc>
        <w:tc>
          <w:tcPr>
            <w:tcW w:w="289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小型电动清扫车</w:t>
            </w:r>
          </w:p>
        </w:tc>
        <w:tc>
          <w:tcPr>
            <w:tcW w:w="1386"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 xml:space="preserve">10897 </w:t>
            </w:r>
          </w:p>
        </w:tc>
        <w:tc>
          <w:tcPr>
            <w:tcW w:w="108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 xml:space="preserve">363 </w:t>
            </w:r>
          </w:p>
        </w:tc>
        <w:tc>
          <w:tcPr>
            <w:tcW w:w="1758" w:type="dxa"/>
            <w:tcBorders>
              <w:top w:val="nil"/>
              <w:left w:val="nil"/>
              <w:bottom w:val="single" w:color="auto" w:sz="4" w:space="0"/>
              <w:right w:val="single" w:color="auto" w:sz="4" w:space="0"/>
            </w:tcBorders>
            <w:vAlign w:val="center"/>
          </w:tcPr>
          <w:p>
            <w:pPr>
              <w:widowControl/>
              <w:jc w:val="center"/>
              <w:rPr>
                <w:rFonts w:ascii="宋体" w:hAnsi="宋体" w:cs="宋体"/>
                <w:kern w:val="0"/>
                <w:sz w:val="24"/>
                <w:highlight w:val="none"/>
              </w:rPr>
            </w:pPr>
          </w:p>
        </w:tc>
      </w:tr>
    </w:tbl>
    <w:p>
      <w:pPr>
        <w:widowControl/>
        <w:jc w:val="left"/>
        <w:rPr>
          <w:b/>
          <w:szCs w:val="32"/>
          <w:highlight w:val="none"/>
        </w:rPr>
      </w:pPr>
    </w:p>
    <w:p>
      <w:pPr>
        <w:widowControl/>
        <w:jc w:val="left"/>
        <w:rPr>
          <w:b/>
          <w:szCs w:val="32"/>
          <w:highlight w:val="none"/>
        </w:rPr>
      </w:pPr>
    </w:p>
    <w:p>
      <w:pPr>
        <w:widowControl/>
        <w:jc w:val="left"/>
        <w:rPr>
          <w:b/>
          <w:szCs w:val="32"/>
          <w:highlight w:val="none"/>
        </w:rPr>
      </w:pPr>
    </w:p>
    <w:p>
      <w:pPr>
        <w:widowControl/>
        <w:jc w:val="left"/>
        <w:rPr>
          <w:b/>
          <w:szCs w:val="32"/>
          <w:highlight w:val="none"/>
        </w:rPr>
      </w:pPr>
    </w:p>
    <w:p>
      <w:pPr>
        <w:widowControl/>
        <w:jc w:val="left"/>
        <w:rPr>
          <w:b/>
          <w:szCs w:val="32"/>
          <w:highlight w:val="none"/>
        </w:rPr>
      </w:pPr>
      <w:r>
        <w:rPr>
          <w:b/>
          <w:szCs w:val="32"/>
          <w:highlight w:val="none"/>
        </w:rPr>
        <w:br w:type="page"/>
      </w:r>
    </w:p>
    <w:p>
      <w:pPr>
        <w:jc w:val="center"/>
        <w:rPr>
          <w:rFonts w:ascii="方正小标宋简体" w:eastAsia="方正小标宋简体"/>
          <w:sz w:val="44"/>
          <w:szCs w:val="44"/>
          <w:highlight w:val="none"/>
        </w:rPr>
      </w:pPr>
      <w:r>
        <w:rPr>
          <w:rFonts w:hint="eastAsia" w:ascii="方正小标宋简体" w:eastAsia="方正小标宋简体"/>
          <w:sz w:val="44"/>
          <w:szCs w:val="44"/>
          <w:highlight w:val="none"/>
        </w:rPr>
        <w:t>厦门市公路事业发展中心机械化保洁作业标准</w:t>
      </w:r>
      <w:bookmarkEnd w:id="1"/>
      <w:bookmarkEnd w:id="2"/>
    </w:p>
    <w:p>
      <w:pPr>
        <w:adjustRightInd w:val="0"/>
        <w:snapToGrid w:val="0"/>
        <w:spacing w:line="400" w:lineRule="exact"/>
        <w:ind w:firstLine="880" w:firstLineChars="200"/>
        <w:jc w:val="center"/>
        <w:rPr>
          <w:rFonts w:ascii="方正小标宋简体" w:hAnsi="仿宋" w:eastAsia="方正小标宋简体" w:cs="方正小标宋简体"/>
          <w:sz w:val="44"/>
          <w:szCs w:val="44"/>
          <w:highlight w:val="none"/>
        </w:rPr>
      </w:pP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机械化保洁作业是指为维护道路整洁而进行的环境卫生作业，包括机械清扫、机械洗扫、机械保洁、机械捡拾、机械冲洗、机械降尘等。</w:t>
      </w:r>
    </w:p>
    <w:p>
      <w:pPr>
        <w:adjustRightInd w:val="0"/>
        <w:snapToGrid w:val="0"/>
        <w:spacing w:line="360" w:lineRule="auto"/>
        <w:ind w:firstLine="643" w:firstLineChars="200"/>
        <w:outlineLvl w:val="0"/>
        <w:rPr>
          <w:rFonts w:ascii="仿宋_GB2312" w:hAnsi="仿宋"/>
          <w:b/>
          <w:szCs w:val="32"/>
          <w:highlight w:val="none"/>
        </w:rPr>
      </w:pPr>
      <w:r>
        <w:rPr>
          <w:rFonts w:hint="eastAsia" w:ascii="仿宋_GB2312" w:hAnsi="仿宋"/>
          <w:b/>
          <w:szCs w:val="32"/>
          <w:highlight w:val="none"/>
        </w:rPr>
        <w:t>一、术语定义</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1、机械清扫：运用清扫车清除道路废弃物、减少路面尘土量的作业。</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2、机械洗扫：运用洗扫车清洁道路的作业。</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3、机械快速保洁：运用清（洗）扫车保持道路干净整洁的作业。</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4、机械冲洗：运用洒水车辆，以一定压力水流清洁道路的作业。</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5、机械降尘：运用洒水车辆，采用喷雾方式防止道路扬尘的作业。</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6、机械拾捡：采用环卫车辆配合和辅助人工方式清除道路废弃物的作业。</w:t>
      </w:r>
    </w:p>
    <w:p>
      <w:pPr>
        <w:adjustRightInd w:val="0"/>
        <w:snapToGrid w:val="0"/>
        <w:spacing w:line="360" w:lineRule="auto"/>
        <w:ind w:firstLine="643" w:firstLineChars="200"/>
        <w:outlineLvl w:val="0"/>
        <w:rPr>
          <w:rFonts w:ascii="仿宋_GB2312" w:hAnsi="仿宋"/>
          <w:b/>
          <w:szCs w:val="32"/>
          <w:highlight w:val="none"/>
        </w:rPr>
      </w:pPr>
      <w:r>
        <w:rPr>
          <w:rFonts w:hint="eastAsia" w:ascii="仿宋_GB2312" w:hAnsi="仿宋"/>
          <w:b/>
          <w:szCs w:val="32"/>
          <w:highlight w:val="none"/>
        </w:rPr>
        <w:t>二、质量要求</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1、机械清扫：清扫后道路整体感观应清洁，不应有积存垃圾、积水和污物。</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2、机械洗扫：洗扫后路面应呈本色.不应有浮土、泥沙、污物、积水。</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3、机械保洁：道路总体干净整洁。</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4、机械冲洗：冲洗后路面应呈本色，不应有泥沙、污物、废弃物，标线应清晰。</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5、机械降尘：降尘后路面应湿润，不应出现水流，路面见潮不见水。</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6、机械拾捡：拾捡后道路边线、中心平台、路牙、出入口、隔离带等处不应有废弃物、路面不应有大件废弃物。</w:t>
      </w:r>
    </w:p>
    <w:p>
      <w:pPr>
        <w:adjustRightInd w:val="0"/>
        <w:snapToGrid w:val="0"/>
        <w:spacing w:line="360" w:lineRule="auto"/>
        <w:ind w:firstLine="643" w:firstLineChars="200"/>
        <w:outlineLvl w:val="0"/>
        <w:rPr>
          <w:rFonts w:ascii="仿宋_GB2312" w:hAnsi="仿宋"/>
          <w:b/>
          <w:szCs w:val="32"/>
          <w:highlight w:val="none"/>
        </w:rPr>
      </w:pPr>
      <w:r>
        <w:rPr>
          <w:rFonts w:hint="eastAsia" w:ascii="仿宋_GB2312" w:hAnsi="仿宋"/>
          <w:b/>
          <w:szCs w:val="32"/>
          <w:highlight w:val="none"/>
        </w:rPr>
        <w:t>三、作业要求</w:t>
      </w:r>
    </w:p>
    <w:p>
      <w:pPr>
        <w:adjustRightInd w:val="0"/>
        <w:snapToGrid w:val="0"/>
        <w:spacing w:line="360" w:lineRule="auto"/>
        <w:ind w:firstLine="643" w:firstLineChars="200"/>
        <w:rPr>
          <w:rFonts w:ascii="仿宋_GB2312" w:hAnsi="仿宋"/>
          <w:b/>
          <w:szCs w:val="32"/>
          <w:highlight w:val="none"/>
        </w:rPr>
      </w:pPr>
      <w:r>
        <w:rPr>
          <w:rFonts w:hint="eastAsia" w:ascii="仿宋_GB2312" w:hAnsi="仿宋"/>
          <w:b/>
          <w:szCs w:val="32"/>
          <w:highlight w:val="none"/>
        </w:rPr>
        <w:t>1、机械化清洗（扫）、保洁作业要求</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1）机械清扫（洗）要按照业主或业主代表规定的时间和频率对养护路段进行全面清扫，清（洗）扫质量满足“市容及扬尘考评”和业主对路面保洁的要求，做到“路面无物、路沿无尘、路见本色、设备整洁”。</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2）要熟悉清扫地段的线路，道路清洗(扫)联合作业时按规定时速作业。洗扫车清扫作业速度不超过8公里/小时，快速保洁作业不超过12公里/小时；清扫车清扫作业速度不超过10公里/小时，快速保洁作业不超过15公里/小时。</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3）机械清扫（洗）第一遍原则上要在7：00之前完成。快速保洁和机械拾捡在机械清扫（洗）之后进行。一般在白天9:00之后，每天1到2次。景观道、重要道路的机械保洁采用洗扫车、其他道路机械保洁可采用清扫车。</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（4）作业前，要做好车辆的检查，特别要对制动系、转向系统、轮胎及各类仪表指示器进行检查，确保机况良好及使用安全。要注意水泵、主刷、边刷、喷头、垃圾箱是否完好、灵敏有效。</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5）作业时先检查扫刷落地高度，一般降至刷毛稍压地面为合适，扫刷向前向外各倾斜5°为宜，吸口调整到不遗漏为宜。作业时，根据道路污染情况，开启喷雾压尘喷嘴，要求左、右前扫刷处几个喷嘴喷出的扇形水面互相衔接。洗扫车喷嘴水幕应调整至连续不间断。车上应配有喷嘴疏通工具和备用喷嘴，若喷嘴堵塞或不畅，应及时疏通。必要时可卸下喷嘴进行疏通、清洗或进行更换。垃圾箱应密封良好，无滴、漏现象。扫刷长度小于10厘米时须及时更换。同时应根据道路路况和污染程度，调整扫刷转速档位，副发动机转速应达到1600转-2200转/分。</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（6）要在指定加水点加水,垃圾应当天在规定地点倾倒，并将喷水系统、扫盘、吸嘴、吸管、垃圾箱等及时清洗干净后，打开垃圾箱后盖晾干。</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（7）机械拾捡应顺车流前进方向进行作业，应在确保安全的情况下作业，发现废弃物时可根据实际情况减速或靠边停车。</w:t>
      </w:r>
    </w:p>
    <w:p>
      <w:pPr>
        <w:adjustRightInd w:val="0"/>
        <w:snapToGrid w:val="0"/>
        <w:spacing w:line="360" w:lineRule="auto"/>
        <w:ind w:firstLine="643" w:firstLineChars="200"/>
        <w:rPr>
          <w:rFonts w:ascii="仿宋_GB2312" w:hAnsi="仿宋"/>
          <w:b/>
          <w:szCs w:val="32"/>
          <w:highlight w:val="none"/>
        </w:rPr>
      </w:pPr>
      <w:r>
        <w:rPr>
          <w:rFonts w:hint="eastAsia" w:ascii="仿宋_GB2312" w:hAnsi="仿宋"/>
          <w:b/>
          <w:szCs w:val="32"/>
          <w:highlight w:val="none"/>
        </w:rPr>
        <w:t>2、机械冲洗、降尘作业要求</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（1）机械冲洗、降尘作业时作业警示灯应进行作业警示。注意文明洒水，过斑马线遇行人时应及时关水或降低水压。夜间作业时还需控制好鸣笛和音乐音量不扰民。</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2）机械冲洗时车速不超过15公里/小时，水压应大于300kPa，单喷嘴出水撤布宽度应大于6m，冲洗后废弃物距路牙应小于50cm，水流冲到路牙后返水距路牙应小于20cm。机械降尘作业时，车速不超过20公里/小时，水要喷射成雾状，达到“路面见潮不见水流”的效果。</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3）道路清洗作业原则上应安排在洗扫车作业之前，清扫车清扫作业之后。对于正在清扫或还未清扫过的路段，洒水量要控制在不影响清扫的程度。道路清洗作业时要先中央（护栏）后两边，先渣土运输线路，后其它业务道路。保证路面无污物，路牙无浮土，车速不超过每小时30公里，严禁高速冲洗。</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（4）洒水车应在指定地点加水，并将接水栓或消防栓关紧，盖好。防止水源流失浪费。</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（5）在处置突发污染时一般不得强冲，需能采取人工配合洒水车进行处置。</w:t>
      </w:r>
    </w:p>
    <w:p>
      <w:pPr>
        <w:adjustRightInd w:val="0"/>
        <w:snapToGrid w:val="0"/>
        <w:spacing w:line="360" w:lineRule="auto"/>
        <w:ind w:firstLine="643" w:firstLineChars="200"/>
        <w:rPr>
          <w:rFonts w:ascii="仿宋_GB2312" w:hAnsi="仿宋"/>
          <w:b/>
          <w:szCs w:val="32"/>
          <w:highlight w:val="none"/>
        </w:rPr>
      </w:pPr>
      <w:r>
        <w:rPr>
          <w:rFonts w:hint="eastAsia" w:ascii="仿宋_GB2312" w:hAnsi="仿宋"/>
          <w:b/>
          <w:szCs w:val="32"/>
          <w:highlight w:val="none"/>
        </w:rPr>
        <w:t>3、其他要求</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（1）机械作业应当避开交通高峰时段。</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（2）重大节假日或重要活动期间，应根据实际情况适当延长作业时间。</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（3）根据需求开展机械降尘作业。</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（4）当遇中雨（含）以上天气时，可暂停全部作业。</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（5）当遇五级（含）以上大风天气时，可暂停机械冲洗作业。</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（6）当遇重大活动、领导调研、卫生考评（市容考评、扬尘考评等）、突发重大污染或空气重度污染天气时，应及时启动道路清扫保洁应急预案进行作业。</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（7）作业车辆在规定的作业时段内不能上路作业时，承包人在知道车辆不能上路作业后立即将情况报告业主驻地代表或业主，分析原因并提供替代解决方案。</w:t>
      </w:r>
    </w:p>
    <w:p>
      <w:pPr>
        <w:adjustRightInd w:val="0"/>
        <w:snapToGrid w:val="0"/>
        <w:spacing w:line="360" w:lineRule="auto"/>
        <w:ind w:firstLine="643" w:firstLineChars="200"/>
        <w:outlineLvl w:val="0"/>
        <w:rPr>
          <w:rFonts w:ascii="仿宋_GB2312" w:hAnsi="仿宋"/>
          <w:b/>
          <w:szCs w:val="32"/>
          <w:highlight w:val="none"/>
        </w:rPr>
      </w:pPr>
      <w:r>
        <w:rPr>
          <w:rFonts w:hint="eastAsia" w:ascii="仿宋_GB2312" w:hAnsi="仿宋"/>
          <w:b/>
          <w:szCs w:val="32"/>
          <w:highlight w:val="none"/>
        </w:rPr>
        <w:t>四、作业安排及记录</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1、应根据不同</w:t>
      </w:r>
      <w:r>
        <w:rPr>
          <w:rFonts w:hint="eastAsia" w:ascii="仿宋_GB2312" w:hAnsi="仿宋"/>
          <w:szCs w:val="32"/>
          <w:highlight w:val="none"/>
          <w:lang w:val="en-US" w:eastAsia="zh-CN"/>
        </w:rPr>
        <w:t>作业</w:t>
      </w:r>
      <w:r>
        <w:rPr>
          <w:rFonts w:hint="eastAsia" w:ascii="仿宋_GB2312" w:hAnsi="仿宋"/>
          <w:szCs w:val="32"/>
          <w:highlight w:val="none"/>
        </w:rPr>
        <w:t>方式的要求，对所对应的作业道路进行作业顺序和作业人员、车辆的编排。每月30日前将下个月承担机械清扫（洗）、机械保洁、机械捡拾、机械冲洗和机械降尘任务的作业车辆计划报业主驻地代表备案，并接受业主代表的指导和调度。作业计划应包括车辆类型、车牌号、作业线路、每天作业时段、预计用水数量（车数）、加水点位置、保养计划，维修计划等。</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2、作业运行记录。运行记录应包括作业人员、作业时间、作业车辆、作业路段、作业情况、作业里程、行驶里程，以及作业用油及用水等物料消耗情况、道路环境突发</w:t>
      </w:r>
      <w:r>
        <w:rPr>
          <w:rFonts w:hint="eastAsia" w:ascii="仿宋_GB2312" w:hAnsi="仿宋"/>
          <w:szCs w:val="32"/>
          <w:highlight w:val="none"/>
          <w:lang w:val="en-US" w:eastAsia="zh-CN"/>
        </w:rPr>
        <w:t>事件</w:t>
      </w:r>
      <w:r>
        <w:rPr>
          <w:rFonts w:hint="eastAsia" w:ascii="仿宋_GB2312" w:hAnsi="仿宋_GB2312" w:cs="仿宋_GB2312"/>
          <w:szCs w:val="32"/>
          <w:highlight w:val="none"/>
        </w:rPr>
        <w:t>与处理措施等信息，记录应完整、清晰、及时、准确。</w:t>
      </w:r>
    </w:p>
    <w:p>
      <w:pPr>
        <w:adjustRightInd w:val="0"/>
        <w:snapToGrid w:val="0"/>
        <w:spacing w:line="360" w:lineRule="auto"/>
        <w:ind w:firstLine="640" w:firstLineChars="200"/>
        <w:rPr>
          <w:rFonts w:ascii="仿宋_GB2312" w:hAnsi="仿宋"/>
          <w:szCs w:val="32"/>
          <w:highlight w:val="none"/>
        </w:rPr>
      </w:pPr>
      <w:r>
        <w:rPr>
          <w:rFonts w:hint="eastAsia" w:ascii="仿宋_GB2312" w:hAnsi="仿宋"/>
          <w:szCs w:val="32"/>
          <w:highlight w:val="none"/>
        </w:rPr>
        <w:t>3、作业车辆均应安装卫星定位系统，保存至少6个月的电子轨迹记录。其中清（洗）扫车还要能够实时监测副发转速、扫盘工作情况，并安装有实时视频监控系统，监控摄像头不少于3个，清晰度720P以上。</w:t>
      </w:r>
    </w:p>
    <w:p>
      <w:pPr>
        <w:adjustRightInd w:val="0"/>
        <w:snapToGrid w:val="0"/>
        <w:spacing w:line="400" w:lineRule="exact"/>
        <w:ind w:firstLine="640" w:firstLineChars="200"/>
        <w:rPr>
          <w:rFonts w:ascii="仿宋_GB2312" w:hAnsi="仿宋"/>
          <w:color w:val="000000"/>
          <w:szCs w:val="32"/>
          <w:highlight w:val="none"/>
        </w:rPr>
      </w:pPr>
    </w:p>
    <w:p>
      <w:pPr>
        <w:adjustRightInd w:val="0"/>
        <w:snapToGrid w:val="0"/>
        <w:spacing w:line="360" w:lineRule="auto"/>
        <w:ind w:firstLine="640" w:firstLineChars="200"/>
        <w:rPr>
          <w:rFonts w:ascii="仿宋_GB2312"/>
          <w:szCs w:val="32"/>
          <w:highlight w:val="none"/>
        </w:rPr>
      </w:pPr>
    </w:p>
    <w:p>
      <w:pPr>
        <w:snapToGrid w:val="0"/>
        <w:spacing w:line="336" w:lineRule="auto"/>
        <w:ind w:firstLine="627" w:firstLineChars="196"/>
        <w:rPr>
          <w:rFonts w:ascii="仿宋_GB2312"/>
          <w:szCs w:val="32"/>
          <w:highlight w:val="none"/>
        </w:rPr>
      </w:pPr>
    </w:p>
    <w:p>
      <w:pPr>
        <w:rPr>
          <w:rFonts w:ascii="仿宋_GB2312"/>
          <w:szCs w:val="32"/>
          <w:highlight w:val="none"/>
        </w:rPr>
      </w:pPr>
    </w:p>
    <w:p>
      <w:pPr>
        <w:spacing w:line="0" w:lineRule="atLeast"/>
        <w:jc w:val="left"/>
        <w:rPr>
          <w:rFonts w:ascii="仿宋_GB2312"/>
          <w:szCs w:val="32"/>
          <w:highlight w:val="none"/>
        </w:rPr>
      </w:pPr>
    </w:p>
    <w:p>
      <w:pPr>
        <w:spacing w:line="0" w:lineRule="atLeast"/>
        <w:jc w:val="left"/>
        <w:rPr>
          <w:highlight w:val="none"/>
        </w:rPr>
      </w:pPr>
    </w:p>
    <w:p>
      <w:pPr>
        <w:spacing w:line="0" w:lineRule="atLeast"/>
        <w:jc w:val="left"/>
        <w:rPr>
          <w:highlight w:val="none"/>
        </w:rPr>
      </w:pPr>
    </w:p>
    <w:p>
      <w:pPr>
        <w:spacing w:line="0" w:lineRule="atLeast"/>
        <w:jc w:val="left"/>
        <w:rPr>
          <w:highlight w:val="none"/>
        </w:rPr>
      </w:pPr>
    </w:p>
    <w:p>
      <w:pPr>
        <w:spacing w:line="0" w:lineRule="atLeast"/>
        <w:jc w:val="left"/>
        <w:rPr>
          <w:highlight w:val="none"/>
        </w:rPr>
      </w:pPr>
    </w:p>
    <w:p>
      <w:pPr>
        <w:spacing w:line="0" w:lineRule="atLeast"/>
        <w:jc w:val="left"/>
        <w:rPr>
          <w:highlight w:val="none"/>
        </w:rPr>
      </w:pPr>
    </w:p>
    <w:p>
      <w:pPr>
        <w:spacing w:line="0" w:lineRule="atLeast"/>
        <w:jc w:val="left"/>
        <w:rPr>
          <w:highlight w:val="none"/>
        </w:rPr>
      </w:pPr>
    </w:p>
    <w:p>
      <w:pPr>
        <w:spacing w:line="0" w:lineRule="atLeast"/>
        <w:jc w:val="left"/>
        <w:rPr>
          <w:highlight w:val="none"/>
        </w:rPr>
      </w:pPr>
    </w:p>
    <w:p>
      <w:pPr>
        <w:spacing w:line="0" w:lineRule="atLeast"/>
        <w:jc w:val="left"/>
        <w:rPr>
          <w:highlight w:val="none"/>
        </w:rPr>
      </w:pPr>
    </w:p>
    <w:p>
      <w:pPr>
        <w:spacing w:line="0" w:lineRule="atLeast"/>
        <w:jc w:val="left"/>
        <w:rPr>
          <w:highlight w:val="none"/>
        </w:rPr>
      </w:pPr>
    </w:p>
    <w:p>
      <w:pPr>
        <w:spacing w:line="0" w:lineRule="atLeast"/>
        <w:jc w:val="left"/>
        <w:rPr>
          <w:highlight w:val="none"/>
        </w:rPr>
      </w:pPr>
    </w:p>
    <w:p>
      <w:pPr>
        <w:spacing w:line="0" w:lineRule="atLeast"/>
        <w:jc w:val="left"/>
        <w:rPr>
          <w:highlight w:val="none"/>
        </w:rPr>
      </w:pPr>
    </w:p>
    <w:p>
      <w:pPr>
        <w:spacing w:line="360" w:lineRule="auto"/>
        <w:jc w:val="left"/>
        <w:rPr>
          <w:rFonts w:ascii="仿宋_GB2312" w:hAnsi="仿宋"/>
          <w:highlight w:val="none"/>
        </w:rPr>
      </w:pPr>
    </w:p>
    <w:bookmarkEnd w:id="3"/>
    <w:sectPr>
      <w:headerReference r:id="rId3" w:type="default"/>
      <w:footerReference r:id="rId5" w:type="default"/>
      <w:headerReference r:id="rId4" w:type="even"/>
      <w:footerReference r:id="rId6" w:type="even"/>
      <w:pgSz w:w="11907" w:h="16840"/>
      <w:pgMar w:top="2098" w:right="1474" w:bottom="1985" w:left="1588" w:header="1021" w:footer="1021" w:gutter="0"/>
      <w:cols w:space="425" w:num="1"/>
      <w:docGrid w:linePitch="435" w:charSpace="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微软雅黑"/>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13</w:t>
    </w:r>
    <w:r>
      <w:rPr>
        <w:rFonts w:ascii="宋体" w:hAnsi="宋体" w:eastAsia="宋体"/>
        <w:sz w:val="28"/>
        <w:szCs w:val="28"/>
      </w:rPr>
      <w:fldChar w:fldCharType="end"/>
    </w:r>
    <w:r>
      <w:rPr>
        <w:rFonts w:hint="eastAsia" w:ascii="宋体" w:hAnsi="宋体" w:eastAsia="宋体"/>
        <w:sz w:val="28"/>
        <w:szCs w:val="28"/>
      </w:rPr>
      <w:t>－</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80" w:firstLineChars="100"/>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14</w:t>
    </w:r>
    <w:r>
      <w:rPr>
        <w:rFonts w:ascii="宋体" w:hAnsi="宋体" w:eastAsia="宋体"/>
        <w:sz w:val="28"/>
        <w:szCs w:val="28"/>
      </w:rPr>
      <w:fldChar w:fldCharType="end"/>
    </w:r>
    <w:r>
      <w:rPr>
        <w:rFonts w:hint="eastAsia" w:ascii="宋体" w:hAnsi="宋体" w:eastAsia="宋体"/>
        <w:sz w:val="28"/>
        <w:szCs w:val="28"/>
      </w:rPr>
      <w:t>－</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revisionView w:markup="0"/>
  <w:documentProtection w:edit="trackedChanges" w:enforcement="0"/>
  <w:defaultTabStop w:val="420"/>
  <w:evenAndOddHeaders w:val="1"/>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8893DABD-10A8-46FE-8F9E-96794833FFE7}" w:val="P370Ba48vwHMYkJQCRAIdslb9GNcTyODqFtmLpx21KZWhnrVge=foz+X/u65USEji"/>
    <w:docVar w:name="commondata" w:val="eyJoZGlkIjoiYjZhYTUzODE2MTFjYjZkNTliYzVhZDc5ZTczMjRlNzAifQ=="/>
    <w:docVar w:name="DocumentID" w:val="{9A7ED277-6850-4BFC-9AD5-37937B96362C}"/>
  </w:docVars>
  <w:rsids>
    <w:rsidRoot w:val="00837FA1"/>
    <w:rsid w:val="0002622A"/>
    <w:rsid w:val="0006359F"/>
    <w:rsid w:val="00065A91"/>
    <w:rsid w:val="0011638B"/>
    <w:rsid w:val="00147150"/>
    <w:rsid w:val="001B1355"/>
    <w:rsid w:val="00213C66"/>
    <w:rsid w:val="00221560"/>
    <w:rsid w:val="002346DC"/>
    <w:rsid w:val="00266B0A"/>
    <w:rsid w:val="00276E1F"/>
    <w:rsid w:val="002C032E"/>
    <w:rsid w:val="002D3A27"/>
    <w:rsid w:val="002D7047"/>
    <w:rsid w:val="002F4FA7"/>
    <w:rsid w:val="00303DC2"/>
    <w:rsid w:val="00305DFF"/>
    <w:rsid w:val="00314AFC"/>
    <w:rsid w:val="00357DBC"/>
    <w:rsid w:val="0037415C"/>
    <w:rsid w:val="00385766"/>
    <w:rsid w:val="00422876"/>
    <w:rsid w:val="0042511B"/>
    <w:rsid w:val="00441842"/>
    <w:rsid w:val="00445BFE"/>
    <w:rsid w:val="00452D52"/>
    <w:rsid w:val="00457F17"/>
    <w:rsid w:val="00470F05"/>
    <w:rsid w:val="004B3835"/>
    <w:rsid w:val="004B4888"/>
    <w:rsid w:val="004D1DB8"/>
    <w:rsid w:val="004E549D"/>
    <w:rsid w:val="004F0985"/>
    <w:rsid w:val="0050228C"/>
    <w:rsid w:val="00517F40"/>
    <w:rsid w:val="005353B1"/>
    <w:rsid w:val="00545E32"/>
    <w:rsid w:val="005A34D4"/>
    <w:rsid w:val="005B7680"/>
    <w:rsid w:val="0060037A"/>
    <w:rsid w:val="006142E4"/>
    <w:rsid w:val="00623483"/>
    <w:rsid w:val="0063218A"/>
    <w:rsid w:val="006A6E81"/>
    <w:rsid w:val="006D5813"/>
    <w:rsid w:val="006E2C0D"/>
    <w:rsid w:val="006E728E"/>
    <w:rsid w:val="006F394E"/>
    <w:rsid w:val="00707B75"/>
    <w:rsid w:val="00715C54"/>
    <w:rsid w:val="007173A2"/>
    <w:rsid w:val="007504E4"/>
    <w:rsid w:val="007508A6"/>
    <w:rsid w:val="00770C97"/>
    <w:rsid w:val="00781B17"/>
    <w:rsid w:val="00790C95"/>
    <w:rsid w:val="007A3BF9"/>
    <w:rsid w:val="007B26FF"/>
    <w:rsid w:val="007C5B5D"/>
    <w:rsid w:val="007F095A"/>
    <w:rsid w:val="007F3C30"/>
    <w:rsid w:val="00837FA1"/>
    <w:rsid w:val="00860D99"/>
    <w:rsid w:val="008718F6"/>
    <w:rsid w:val="00885BC0"/>
    <w:rsid w:val="008D27A2"/>
    <w:rsid w:val="008D344B"/>
    <w:rsid w:val="008D7655"/>
    <w:rsid w:val="008F030E"/>
    <w:rsid w:val="009014AC"/>
    <w:rsid w:val="009148A9"/>
    <w:rsid w:val="0093143E"/>
    <w:rsid w:val="0095623D"/>
    <w:rsid w:val="00996116"/>
    <w:rsid w:val="009A48D3"/>
    <w:rsid w:val="009F6204"/>
    <w:rsid w:val="00A04DF3"/>
    <w:rsid w:val="00A0649D"/>
    <w:rsid w:val="00A075F5"/>
    <w:rsid w:val="00A07EEA"/>
    <w:rsid w:val="00A3314E"/>
    <w:rsid w:val="00AA26C5"/>
    <w:rsid w:val="00AA5177"/>
    <w:rsid w:val="00AB1550"/>
    <w:rsid w:val="00AB7E26"/>
    <w:rsid w:val="00AD7D73"/>
    <w:rsid w:val="00B121AA"/>
    <w:rsid w:val="00B3758A"/>
    <w:rsid w:val="00B40B20"/>
    <w:rsid w:val="00B46C79"/>
    <w:rsid w:val="00B64484"/>
    <w:rsid w:val="00B8272B"/>
    <w:rsid w:val="00B85CB6"/>
    <w:rsid w:val="00BB3062"/>
    <w:rsid w:val="00BC183A"/>
    <w:rsid w:val="00BD1418"/>
    <w:rsid w:val="00BD2D20"/>
    <w:rsid w:val="00BD5E54"/>
    <w:rsid w:val="00BF1DA0"/>
    <w:rsid w:val="00C2266A"/>
    <w:rsid w:val="00C27506"/>
    <w:rsid w:val="00C3115D"/>
    <w:rsid w:val="00C62CE1"/>
    <w:rsid w:val="00C86F70"/>
    <w:rsid w:val="00CB64B9"/>
    <w:rsid w:val="00CD1763"/>
    <w:rsid w:val="00D342EB"/>
    <w:rsid w:val="00D51E49"/>
    <w:rsid w:val="00D65AE8"/>
    <w:rsid w:val="00DA34AF"/>
    <w:rsid w:val="00DB1CDE"/>
    <w:rsid w:val="00DB3A88"/>
    <w:rsid w:val="00DC0FB3"/>
    <w:rsid w:val="00DC3D01"/>
    <w:rsid w:val="00DD319F"/>
    <w:rsid w:val="00DE7B5B"/>
    <w:rsid w:val="00DF61AE"/>
    <w:rsid w:val="00E15B7F"/>
    <w:rsid w:val="00E20B54"/>
    <w:rsid w:val="00E9259F"/>
    <w:rsid w:val="00EB4B43"/>
    <w:rsid w:val="00EE1F1F"/>
    <w:rsid w:val="00EF42C0"/>
    <w:rsid w:val="00F1257E"/>
    <w:rsid w:val="00F32374"/>
    <w:rsid w:val="00F4230F"/>
    <w:rsid w:val="00F964D1"/>
    <w:rsid w:val="00FA169F"/>
    <w:rsid w:val="00FA22DE"/>
    <w:rsid w:val="00FB5663"/>
    <w:rsid w:val="00FC2A9C"/>
    <w:rsid w:val="00FD4F29"/>
    <w:rsid w:val="00FE11FB"/>
    <w:rsid w:val="411136DA"/>
    <w:rsid w:val="627D6187"/>
    <w:rsid w:val="6FD264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Document Map"/>
    <w:basedOn w:val="1"/>
    <w:link w:val="10"/>
    <w:autoRedefine/>
    <w:qFormat/>
    <w:uiPriority w:val="0"/>
    <w:rPr>
      <w:rFonts w:ascii="宋体" w:eastAsia="宋体"/>
      <w:sz w:val="18"/>
      <w:szCs w:val="18"/>
    </w:rPr>
  </w:style>
  <w:style w:type="paragraph" w:styleId="3">
    <w:name w:val="footer"/>
    <w:basedOn w:val="1"/>
    <w:link w:val="8"/>
    <w:autoRedefine/>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autoRedefine/>
    <w:qFormat/>
    <w:uiPriority w:val="0"/>
    <w:rPr>
      <w:rFonts w:eastAsia="仿宋_GB2312"/>
      <w:kern w:val="2"/>
      <w:sz w:val="18"/>
      <w:szCs w:val="18"/>
    </w:rPr>
  </w:style>
  <w:style w:type="character" w:customStyle="1" w:styleId="8">
    <w:name w:val="页脚 Char"/>
    <w:link w:val="3"/>
    <w:uiPriority w:val="99"/>
    <w:rPr>
      <w:rFonts w:eastAsia="仿宋_GB2312"/>
      <w:kern w:val="2"/>
      <w:sz w:val="18"/>
      <w:szCs w:val="18"/>
    </w:rPr>
  </w:style>
  <w:style w:type="paragraph" w:styleId="9">
    <w:name w:val="No Spacing"/>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10">
    <w:name w:val="文档结构图 Char"/>
    <w:basedOn w:val="6"/>
    <w:link w:val="2"/>
    <w:autoRedefine/>
    <w:qFormat/>
    <w:uiPriority w:val="0"/>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A3C9D-555C-44BD-93D7-7809DA1D8A20}">
  <ds:schemaRefs/>
</ds:datastoreItem>
</file>

<file path=docProps/app.xml><?xml version="1.0" encoding="utf-8"?>
<Properties xmlns="http://schemas.openxmlformats.org/officeDocument/2006/extended-properties" xmlns:vt="http://schemas.openxmlformats.org/officeDocument/2006/docPropsVTypes">
  <Template>Normal.dotm</Template>
  <Company>厦门市公路局</Company>
  <Pages>19</Pages>
  <Words>7840</Words>
  <Characters>551</Characters>
  <Lines>4</Lines>
  <Paragraphs>16</Paragraphs>
  <TotalTime>9</TotalTime>
  <ScaleCrop>false</ScaleCrop>
  <LinksUpToDate>false</LinksUpToDate>
  <CharactersWithSpaces>8375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2021-03-26T08:19:00Z</dcterms:created>
  <dc:creator>方一凡</dc:creator>
  <cp:lastModifiedBy>WPS_1542958777</cp:lastModifiedBy>
  <cp:lastPrinted>2001-05-10T01:38:00Z</cp:lastPrinted>
  <dcterms:modified xsi:type="dcterms:W3CDTF">2024-04-19T09:02:38Z</dcterms:modified>
  <dc:title>厦门市公路局文件</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C07E457F770C42569783EA29ABD06531_12</vt:lpwstr>
  </property>
</Properties>
</file>