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28" w:rsidRDefault="006A3428" w:rsidP="005F1C26">
      <w:pPr>
        <w:spacing w:after="0" w:line="580" w:lineRule="exact"/>
        <w:jc w:val="both"/>
        <w:rPr>
          <w:rFonts w:asciiTheme="majorEastAsia" w:eastAsiaTheme="majorEastAsia" w:hAnsiTheme="majorEastAsia"/>
          <w:b/>
          <w:sz w:val="36"/>
          <w:szCs w:val="36"/>
        </w:rPr>
      </w:pPr>
    </w:p>
    <w:p w:rsidR="006A3428" w:rsidRDefault="006A3428" w:rsidP="005F1C26">
      <w:pPr>
        <w:spacing w:after="0" w:line="580" w:lineRule="exact"/>
        <w:jc w:val="both"/>
        <w:rPr>
          <w:rFonts w:asciiTheme="majorEastAsia" w:eastAsiaTheme="majorEastAsia" w:hAnsiTheme="majorEastAsia"/>
          <w:b/>
          <w:sz w:val="36"/>
          <w:szCs w:val="36"/>
        </w:rPr>
      </w:pPr>
    </w:p>
    <w:p w:rsidR="006A3428" w:rsidRDefault="006A3428" w:rsidP="005F1C26">
      <w:pPr>
        <w:spacing w:after="0" w:line="580" w:lineRule="exact"/>
        <w:jc w:val="both"/>
        <w:rPr>
          <w:rFonts w:asciiTheme="majorEastAsia" w:eastAsiaTheme="majorEastAsia" w:hAnsiTheme="majorEastAsia"/>
          <w:b/>
          <w:sz w:val="36"/>
          <w:szCs w:val="36"/>
        </w:rPr>
      </w:pPr>
    </w:p>
    <w:p w:rsidR="006A3428" w:rsidRDefault="006A3428" w:rsidP="005F1C26">
      <w:pPr>
        <w:spacing w:after="0" w:line="580" w:lineRule="exact"/>
        <w:jc w:val="both"/>
        <w:rPr>
          <w:rFonts w:asciiTheme="majorEastAsia" w:eastAsiaTheme="majorEastAsia" w:hAnsiTheme="majorEastAsia"/>
          <w:b/>
          <w:sz w:val="36"/>
          <w:szCs w:val="36"/>
        </w:rPr>
      </w:pPr>
    </w:p>
    <w:p w:rsidR="007F409F" w:rsidRPr="00452DCA" w:rsidRDefault="00CC6CDC" w:rsidP="00F10DF0">
      <w:pPr>
        <w:spacing w:after="0"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52DCA">
        <w:rPr>
          <w:rFonts w:ascii="方正小标宋简体" w:eastAsia="方正小标宋简体" w:hAnsiTheme="majorEastAsia" w:hint="eastAsia"/>
          <w:sz w:val="44"/>
          <w:szCs w:val="44"/>
        </w:rPr>
        <w:t>厦门市交通运输局关于印发2022年市交通运输信用体系建设工作要点</w:t>
      </w:r>
      <w:r w:rsidR="007F409F" w:rsidRPr="00452DCA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452DCA" w:rsidRPr="006A3428" w:rsidRDefault="00452DCA" w:rsidP="005F1C26">
      <w:pPr>
        <w:spacing w:after="0" w:line="580" w:lineRule="exact"/>
        <w:jc w:val="both"/>
        <w:rPr>
          <w:rFonts w:asciiTheme="majorEastAsia" w:eastAsiaTheme="majorEastAsia" w:hAnsiTheme="majorEastAsia"/>
          <w:b/>
          <w:sz w:val="36"/>
          <w:szCs w:val="36"/>
        </w:rPr>
      </w:pPr>
    </w:p>
    <w:p w:rsidR="007F409F" w:rsidRPr="006A3428" w:rsidRDefault="007F409F" w:rsidP="005F1C26">
      <w:pPr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  <w:r w:rsidRPr="006A3428">
        <w:rPr>
          <w:rFonts w:ascii="仿宋_GB2312" w:eastAsia="仿宋_GB2312" w:hAnsiTheme="majorEastAsia" w:hint="eastAsia"/>
          <w:sz w:val="32"/>
          <w:szCs w:val="32"/>
        </w:rPr>
        <w:t>局机关各处室、局属各单位：</w:t>
      </w:r>
    </w:p>
    <w:p w:rsidR="007F409F" w:rsidRPr="006A3428" w:rsidRDefault="007F409F" w:rsidP="005F1C26">
      <w:pPr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  <w:r w:rsidRPr="006A3428">
        <w:t xml:space="preserve">    </w:t>
      </w:r>
      <w:r w:rsidRPr="006A3428">
        <w:rPr>
          <w:rFonts w:ascii="仿宋_GB2312" w:eastAsia="仿宋_GB2312" w:hAnsiTheme="majorEastAsia" w:hint="eastAsia"/>
          <w:sz w:val="32"/>
          <w:szCs w:val="32"/>
        </w:rPr>
        <w:t xml:space="preserve">  现将《</w:t>
      </w:r>
      <w:r w:rsidR="00CC6CDC" w:rsidRPr="006A3428">
        <w:rPr>
          <w:rFonts w:ascii="仿宋_GB2312" w:eastAsia="仿宋_GB2312" w:hAnsiTheme="majorEastAsia" w:hint="eastAsia"/>
          <w:sz w:val="32"/>
          <w:szCs w:val="32"/>
        </w:rPr>
        <w:t>2022年市交通运输信用体系建设工作要点</w:t>
      </w:r>
      <w:r w:rsidRPr="006A3428">
        <w:rPr>
          <w:rFonts w:ascii="仿宋_GB2312" w:eastAsia="仿宋_GB2312" w:hAnsiTheme="majorEastAsia" w:hint="eastAsia"/>
          <w:sz w:val="32"/>
          <w:szCs w:val="32"/>
        </w:rPr>
        <w:t>》印发给你们，请结合工作实际，认真组织实施。</w:t>
      </w:r>
    </w:p>
    <w:p w:rsidR="007F409F" w:rsidRPr="006A3428" w:rsidRDefault="007F409F" w:rsidP="005F1C26">
      <w:pPr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p w:rsidR="007F409F" w:rsidRPr="006A3428" w:rsidRDefault="007F409F" w:rsidP="005F1C26">
      <w:pPr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p w:rsidR="007F409F" w:rsidRPr="006A3428" w:rsidRDefault="007F409F" w:rsidP="002F1920">
      <w:pPr>
        <w:spacing w:after="0" w:line="580" w:lineRule="exact"/>
        <w:jc w:val="right"/>
        <w:rPr>
          <w:rFonts w:ascii="仿宋_GB2312" w:eastAsia="仿宋_GB2312" w:hAnsiTheme="majorEastAsia"/>
          <w:sz w:val="32"/>
          <w:szCs w:val="32"/>
        </w:rPr>
      </w:pPr>
      <w:r w:rsidRPr="006A3428">
        <w:rPr>
          <w:rFonts w:ascii="仿宋_GB2312" w:eastAsia="仿宋_GB2312" w:hAnsiTheme="majorEastAsia" w:hint="eastAsia"/>
          <w:sz w:val="32"/>
          <w:szCs w:val="32"/>
        </w:rPr>
        <w:t>厦门市交通运输局</w:t>
      </w:r>
    </w:p>
    <w:p w:rsidR="007F409F" w:rsidRPr="006A3428" w:rsidRDefault="007F409F" w:rsidP="002F1920">
      <w:pPr>
        <w:spacing w:after="0" w:line="580" w:lineRule="exact"/>
        <w:jc w:val="right"/>
        <w:rPr>
          <w:rFonts w:ascii="仿宋_GB2312" w:eastAsia="仿宋_GB2312" w:hAnsiTheme="majorEastAsia"/>
          <w:sz w:val="32"/>
          <w:szCs w:val="32"/>
        </w:rPr>
      </w:pPr>
      <w:r w:rsidRPr="006A3428">
        <w:rPr>
          <w:rFonts w:ascii="仿宋_GB2312" w:eastAsia="仿宋_GB2312" w:hAnsiTheme="majorEastAsia" w:hint="eastAsia"/>
          <w:sz w:val="32"/>
          <w:szCs w:val="32"/>
        </w:rPr>
        <w:t>2022年</w:t>
      </w:r>
      <w:r w:rsidR="000B29E0" w:rsidRPr="006A3428">
        <w:rPr>
          <w:rFonts w:ascii="仿宋_GB2312" w:eastAsia="仿宋_GB2312" w:hAnsiTheme="majorEastAsia" w:hint="eastAsia"/>
          <w:sz w:val="32"/>
          <w:szCs w:val="32"/>
        </w:rPr>
        <w:t>5</w:t>
      </w:r>
      <w:r w:rsidRPr="006A3428">
        <w:rPr>
          <w:rFonts w:ascii="仿宋_GB2312" w:eastAsia="仿宋_GB2312" w:hAnsiTheme="majorEastAsia" w:hint="eastAsia"/>
          <w:sz w:val="32"/>
          <w:szCs w:val="32"/>
        </w:rPr>
        <w:t>月</w:t>
      </w:r>
      <w:r w:rsidR="006A3428" w:rsidRPr="006A3428">
        <w:rPr>
          <w:rFonts w:ascii="仿宋_GB2312" w:eastAsia="仿宋_GB2312" w:hAnsiTheme="majorEastAsia" w:hint="eastAsia"/>
          <w:sz w:val="32"/>
          <w:szCs w:val="32"/>
        </w:rPr>
        <w:t>27</w:t>
      </w:r>
      <w:r w:rsidRPr="006A3428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1B5365" w:rsidRPr="006A3428" w:rsidRDefault="001B5365" w:rsidP="005F1C26">
      <w:pPr>
        <w:adjustRightInd/>
        <w:snapToGrid/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  <w:r w:rsidRPr="006A3428">
        <w:rPr>
          <w:rFonts w:ascii="仿宋_GB2312" w:eastAsia="仿宋_GB2312" w:hAnsiTheme="majorEastAsia"/>
          <w:sz w:val="32"/>
          <w:szCs w:val="32"/>
        </w:rPr>
        <w:br w:type="page"/>
      </w:r>
    </w:p>
    <w:p w:rsidR="00CC6CDC" w:rsidRPr="006A3428" w:rsidRDefault="001B5365" w:rsidP="00EA5461">
      <w:pPr>
        <w:shd w:val="clear" w:color="auto" w:fill="FFFFFF"/>
        <w:adjustRightInd/>
        <w:snapToGrid/>
        <w:spacing w:after="0"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A3428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厦门市交通运输局</w:t>
      </w:r>
      <w:r w:rsidR="00CC6CDC" w:rsidRPr="006A3428">
        <w:rPr>
          <w:rFonts w:ascii="方正小标宋简体" w:eastAsia="方正小标宋简体" w:hAnsi="Times New Roman" w:cs="Times New Roman" w:hint="eastAsia"/>
          <w:sz w:val="44"/>
          <w:szCs w:val="44"/>
        </w:rPr>
        <w:t>关于印发2022年</w:t>
      </w:r>
    </w:p>
    <w:p w:rsidR="001B5365" w:rsidRPr="006A3428" w:rsidRDefault="00CC6CDC" w:rsidP="00EA5461">
      <w:pPr>
        <w:shd w:val="clear" w:color="auto" w:fill="FFFFFF"/>
        <w:adjustRightInd/>
        <w:snapToGrid/>
        <w:spacing w:after="0"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A3428">
        <w:rPr>
          <w:rFonts w:ascii="方正小标宋简体" w:eastAsia="方正小标宋简体" w:hAnsi="Times New Roman" w:cs="Times New Roman" w:hint="eastAsia"/>
          <w:sz w:val="44"/>
          <w:szCs w:val="44"/>
        </w:rPr>
        <w:t>市交通运输</w:t>
      </w:r>
      <w:r w:rsidR="001B5365" w:rsidRPr="006A3428">
        <w:rPr>
          <w:rFonts w:ascii="方正小标宋简体" w:eastAsia="方正小标宋简体" w:hAnsi="Times New Roman" w:cs="Times New Roman" w:hint="eastAsia"/>
          <w:sz w:val="44"/>
          <w:szCs w:val="44"/>
        </w:rPr>
        <w:t>信用体系建设工作要点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jc w:val="both"/>
        <w:rPr>
          <w:rFonts w:ascii="Times New Roman" w:eastAsia="宋体" w:hAnsi="Times New Roman" w:cs="Times New Roman"/>
          <w:sz w:val="32"/>
          <w:szCs w:val="32"/>
        </w:rPr>
      </w:pPr>
      <w:r w:rsidRPr="006A3428">
        <w:rPr>
          <w:rFonts w:ascii="微软雅黑" w:hAnsi="微软雅黑" w:cs="Times New Roman" w:hint="eastAsia"/>
          <w:sz w:val="32"/>
          <w:szCs w:val="32"/>
        </w:rPr>
        <w:t> 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56"/>
        <w:jc w:val="both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2022年市</w:t>
      </w:r>
      <w:r w:rsidR="00CC6CDC"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交通运输</w:t>
      </w:r>
      <w:r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信用体系建设要坚持以习近平新时代中国特色社会主义思想为指导，全面贯彻党的十九大和十九届历次全会精神，落实国家、省</w:t>
      </w:r>
      <w:r w:rsidR="009E7C3C"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、市社会信用体系建设各项部署</w:t>
      </w:r>
      <w:r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，</w:t>
      </w:r>
      <w:r w:rsidR="00CB4DBE"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坚持稳中求进、改革创新、依法依规、深化应用的原则，坚持在法治轨道上推进</w:t>
      </w:r>
      <w:r w:rsidR="005F1C26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市</w:t>
      </w:r>
      <w:r w:rsidR="00CB4DBE"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交通运输行业治理体系和治理能力现代化，聚焦信用和业务深度融合，构建以信用为基础的新型监管机制，为建设交通运输现代化、厦门市</w:t>
      </w:r>
      <w:r w:rsidR="00CB4DBE" w:rsidRPr="006A3428">
        <w:rPr>
          <w:rFonts w:ascii="仿宋_GB2312" w:eastAsia="仿宋_GB2312" w:hAnsi="Times New Roman" w:cs="Times New Roman" w:hint="eastAsia"/>
          <w:sz w:val="32"/>
          <w:szCs w:val="32"/>
        </w:rPr>
        <w:t>全方位推动高质量发展超越</w:t>
      </w:r>
      <w:r w:rsidR="00CB4DBE" w:rsidRPr="006A3428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提供坚实支撑。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现制定年度工作要点如下：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一、推进信用制度落实</w:t>
      </w:r>
    </w:p>
    <w:p w:rsidR="00CB4DBE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（一）</w:t>
      </w:r>
      <w:r w:rsidR="00CB4DBE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严格落实考核指标任务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。</w:t>
      </w:r>
      <w:r w:rsidR="00CB4DBE" w:rsidRPr="006A3428">
        <w:rPr>
          <w:rFonts w:ascii="仿宋_GB2312" w:eastAsia="仿宋_GB2312" w:hAnsiTheme="minorEastAsia" w:hint="eastAsia"/>
          <w:sz w:val="32"/>
          <w:szCs w:val="32"/>
        </w:rPr>
        <w:t>认真对照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国家、省</w:t>
      </w:r>
      <w:r w:rsidR="00CB4DBE" w:rsidRPr="006A3428">
        <w:rPr>
          <w:rFonts w:ascii="仿宋_GB2312" w:eastAsia="仿宋_GB2312" w:hAnsi="Times New Roman" w:cs="Times New Roman" w:hint="eastAsia"/>
          <w:sz w:val="32"/>
          <w:szCs w:val="32"/>
        </w:rPr>
        <w:t>、市</w:t>
      </w:r>
      <w:r w:rsidR="00CB4DBE" w:rsidRPr="006A3428">
        <w:rPr>
          <w:rFonts w:ascii="仿宋_GB2312" w:eastAsia="仿宋_GB2312" w:hAnsiTheme="minorEastAsia" w:hint="eastAsia"/>
          <w:sz w:val="32"/>
          <w:szCs w:val="32"/>
        </w:rPr>
        <w:t>信用建设绩效指标，细化分解任务，明确责任部门，逐项推进落实。（牵头单位：局法规处，责任单位：局机关相关处室、局属相关单位）</w:t>
      </w:r>
    </w:p>
    <w:p w:rsidR="00CB4DBE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（二）</w:t>
      </w:r>
      <w:r w:rsidR="00CB4DBE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全面贯彻落实信用制度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。</w:t>
      </w:r>
      <w:r w:rsidR="00CB4DBE" w:rsidRPr="006A3428">
        <w:rPr>
          <w:rFonts w:ascii="仿宋_GB2312" w:eastAsia="仿宋_GB2312" w:hint="eastAsia"/>
          <w:sz w:val="32"/>
          <w:szCs w:val="32"/>
        </w:rPr>
        <w:t>认真贯彻落实《厦门经济特区社会信用条例》及信用评价、信用承诺、守信激励和失信惩戒、信用教育规划等相关配套办法。</w:t>
      </w:r>
      <w:r w:rsidR="00CB4DBE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7B2412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（三）规范失信约束措施及应用。</w:t>
      </w:r>
      <w:r w:rsidR="00061FAC" w:rsidRPr="006A3428">
        <w:rPr>
          <w:rFonts w:ascii="仿宋_GB2312" w:eastAsia="仿宋_GB2312" w:hint="eastAsia"/>
          <w:sz w:val="32"/>
          <w:szCs w:val="32"/>
        </w:rPr>
        <w:t>认真贯彻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落实《国务院办公厅关于进一步完善失信约束制度构建诚信建设长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效机制的指导意见》（国办发〔2020〕49号），按上级要求梳理规范失信约束措施，严禁信用惩戒泛化。</w:t>
      </w:r>
      <w:r w:rsidR="007B2412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黑体" w:eastAsia="黑体" w:hAnsi="黑体" w:cs="宋体"/>
          <w:b/>
          <w:bCs/>
          <w:kern w:val="36"/>
          <w:sz w:val="32"/>
          <w:szCs w:val="32"/>
        </w:rPr>
      </w:pPr>
      <w:r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二、</w:t>
      </w:r>
      <w:r w:rsidR="002314AB"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加强信用数据归集应用</w:t>
      </w:r>
    </w:p>
    <w:p w:rsidR="007B2412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（四）</w:t>
      </w:r>
      <w:r w:rsidR="007B2412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制定公共信用信息目录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。</w:t>
      </w:r>
      <w:r w:rsidR="007B2412" w:rsidRPr="006A3428">
        <w:rPr>
          <w:rFonts w:ascii="仿宋_GB2312" w:eastAsia="仿宋_GB2312" w:hint="eastAsia"/>
          <w:sz w:val="32"/>
          <w:szCs w:val="32"/>
        </w:rPr>
        <w:t>按照国家标准及我市公共信用信息目录编制规范，梳理修订202</w:t>
      </w:r>
      <w:r w:rsidR="00061FAC" w:rsidRPr="006A3428">
        <w:rPr>
          <w:rFonts w:ascii="仿宋_GB2312" w:eastAsia="仿宋_GB2312" w:hint="eastAsia"/>
          <w:sz w:val="32"/>
          <w:szCs w:val="32"/>
        </w:rPr>
        <w:t>2</w:t>
      </w:r>
      <w:r w:rsidR="007B2412" w:rsidRPr="006A3428">
        <w:rPr>
          <w:rFonts w:ascii="仿宋_GB2312" w:eastAsia="仿宋_GB2312" w:hint="eastAsia"/>
          <w:sz w:val="32"/>
          <w:szCs w:val="32"/>
        </w:rPr>
        <w:t>年版公共信用信息目录。</w:t>
      </w:r>
      <w:r w:rsidR="007B2412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7B2412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7B2412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五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）提高“双公示”信息质量。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建立“双公示”数据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上报台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账和审核工作机制，准确、完整、及时报送“双公示”数据，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不断提高“双公示”信息质量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B2412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7B2412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7B2412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六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）规范“双公示”信息异议处理。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作出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行政许可、行政处罚时，要避免“双公示”信息主观失误，有效降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低“双公示”信息异议占比；按时完成市信用办下发的信用异议信息核查、处理、反馈工作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B2412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373D19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7B2412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七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）提升信用网站建设水平。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严把网站文章质量，按照政府网站普查要求，在门户网站、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微信公众号发布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信用有关动态、政策、宣传等信息时，同步将信息推送至“信用中国（福建厦门）”网站；按照政府网站发展指引要求，保障信用网站的正常运行，坚决杜绝出现意识形态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责任事故。</w:t>
      </w:r>
      <w:r w:rsidR="00373D19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DB7EA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7B2412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八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）加强信息安全保护。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落实信息安全相关法律法规，建立信用数据安全管理机制，确保信用数据安全使用，防止泄露。完善网络安全管理措施，做好日常网络安全防护。</w:t>
      </w:r>
      <w:r w:rsidR="00DB7EA1" w:rsidRPr="006A3428">
        <w:rPr>
          <w:rFonts w:ascii="仿宋_GB2312" w:eastAsia="仿宋_GB2312" w:hAnsi="Times New Roman" w:cs="Times New Roman" w:hint="eastAsia"/>
          <w:sz w:val="32"/>
          <w:szCs w:val="32"/>
        </w:rPr>
        <w:t>严肃查处违规泄露、篡改信用信息或者利用信用信息牟取私利等行为。</w:t>
      </w:r>
      <w:r w:rsidR="00373D19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黑体" w:eastAsia="黑体" w:hAnsi="黑体" w:cs="宋体"/>
          <w:b/>
          <w:bCs/>
          <w:kern w:val="36"/>
          <w:sz w:val="32"/>
          <w:szCs w:val="32"/>
        </w:rPr>
      </w:pPr>
      <w:r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三、推进信用监管智能化建设</w:t>
      </w:r>
    </w:p>
    <w:p w:rsidR="00373D19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九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</w:t>
      </w:r>
      <w:r w:rsidR="00CD3A8D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推进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信用承诺制</w:t>
      </w:r>
      <w:r w:rsidR="00CD3A8D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实施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推行证明事项和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涉企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经营许可告知承诺制事项清单动态更新；完善信用承诺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在容缺受理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中的应用，加快办理进度；加强事中事后监管，实现“承诺—践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诺”全闭环管理，将市场主体的信用承诺和践诺情况纳入信用记录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373D19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（十）落实信用报告应用。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按照《厦门经济特区社会信用条例》及有关规范要求，在行政管理、政务服务领域规范查询公共信用报告。</w:t>
      </w:r>
      <w:r w:rsidR="00373D19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1B5365" w:rsidP="005F1C26">
      <w:pPr>
        <w:spacing w:after="0" w:line="580" w:lineRule="exact"/>
        <w:ind w:firstLineChars="200" w:firstLine="643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（十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一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）开展信用分级分类监管。</w:t>
      </w:r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依据信用评价结果，结合“双随机、</w:t>
      </w:r>
      <w:proofErr w:type="gramStart"/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公开”,在监管方式、抽查领域、抽查比例、检查频次等方面实施差异化监管措施。重点加强信用在“两客</w:t>
      </w:r>
      <w:proofErr w:type="gramStart"/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危”执法、超限超载运输治理、大件运输许可</w:t>
      </w:r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等领域应用。</w:t>
      </w:r>
      <w:r w:rsidR="00373D19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（十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二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）依法依规开展奖惩应用。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按照《国务院办公厅关于进一步完善失信约束制度</w:t>
      </w:r>
      <w:r w:rsidR="005F1C2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构建诚信建设长效机制的指导意见》（国办发〔2020〕49号），落实《全国失信惩戒措施基础清单（2021年版）》，依法依规开展失信主体认定，审慎开展信用奖惩应用。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（十</w:t>
      </w:r>
      <w:r w:rsid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三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）加强市场主体权益保护。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落实国家行政处罚信息信用修复有关规定，</w:t>
      </w:r>
      <w:r w:rsidR="00E72EAF" w:rsidRPr="006A3428">
        <w:rPr>
          <w:rFonts w:ascii="仿宋_GB2312" w:eastAsia="仿宋_GB2312" w:hAnsi="Times New Roman" w:cs="Times New Roman" w:hint="eastAsia"/>
          <w:sz w:val="32"/>
          <w:szCs w:val="32"/>
        </w:rPr>
        <w:t>落实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市信用修复制度，严格按照时间节点和要求，规范开展信用网站信用修复；按照上级文件要求，建立行业失信信息信用修复和失信主体退出机制。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7769F6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微软雅黑" w:hAnsi="微软雅黑" w:cs="宋体" w:hint="eastAsia"/>
          <w:b/>
          <w:bCs/>
          <w:kern w:val="36"/>
          <w:sz w:val="32"/>
          <w:szCs w:val="32"/>
        </w:rPr>
        <w:t>四</w:t>
      </w:r>
      <w:r w:rsidR="001B5365"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、提升全社会守信自觉性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十四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）建立严重失信主体治理机制。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核实国家下发的各类严重失信主体名单，建立动态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治理台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账，开展约谈，</w:t>
      </w:r>
      <w:r w:rsidR="00AF7444" w:rsidRPr="006A3428">
        <w:rPr>
          <w:rFonts w:ascii="仿宋_GB2312" w:eastAsia="仿宋_GB2312" w:hAnsi="Times New Roman" w:cs="Times New Roman" w:hint="eastAsia"/>
          <w:sz w:val="32"/>
          <w:szCs w:val="32"/>
        </w:rPr>
        <w:t>持续</w:t>
      </w:r>
      <w:proofErr w:type="gramStart"/>
      <w:r w:rsidR="00AF7444" w:rsidRPr="006A3428">
        <w:rPr>
          <w:rFonts w:ascii="仿宋_GB2312" w:eastAsia="仿宋_GB2312" w:hAnsi="Times New Roman" w:cs="Times New Roman" w:hint="eastAsia"/>
          <w:sz w:val="32"/>
          <w:szCs w:val="32"/>
        </w:rPr>
        <w:t>降低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proofErr w:type="gramEnd"/>
      <w:r w:rsidR="00AF7444" w:rsidRPr="006A3428">
        <w:rPr>
          <w:rFonts w:ascii="仿宋_GB2312" w:eastAsia="仿宋_GB2312" w:hAnsi="Times New Roman" w:cs="Times New Roman" w:hint="eastAsia"/>
          <w:sz w:val="32"/>
          <w:szCs w:val="32"/>
        </w:rPr>
        <w:t>交通运输行业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严重失信名单主体数量占比。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十五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）建立信用风险预警机制。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对于市信用平台推送的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一年内受到行政处罚数量在60次以上、受到3个及以上部门处罚、被列入多个严重失信主体名单清单，向市场主体发出预警，开展约谈，督促整改、信用修复。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lastRenderedPageBreak/>
        <w:t>单位：局法规处，责任单位：局机关相关处室、局属相关单位）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十六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）开展合同履约监管。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在建设、政府采购等领域开展信用监管，依托信息系统对相关合同的签约、履约、违约信息进行标准化处置和分析，建立合同履约全流程跟踪监管机制。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55E3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十七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）建立失信事件监测及跟踪处理机制。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加强舆情监测，对可能造成区域性、行业性舆情事件的失信信息，及早开展核查，及时消除风险隐患；对互联网曝光的各类负面舆情事件、国家城市信用状况监测反映的失信突出问题，第一时间主动核实、妥善处理，并做好后续跟踪、信息披露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316671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十八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）开展诚信宣传教育。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将信用元素融入文明建设和相关业务当中，依托各类媒体，开展诚信宣传教育活动。发挥诚信典型示范引领作用，</w:t>
      </w:r>
      <w:r w:rsidR="00155E31" w:rsidRPr="006A3428">
        <w:rPr>
          <w:rFonts w:ascii="仿宋_GB2312" w:eastAsia="仿宋_GB2312" w:hAnsi="Times New Roman" w:cs="Times New Roman" w:hint="eastAsia"/>
          <w:sz w:val="32"/>
          <w:szCs w:val="32"/>
        </w:rPr>
        <w:t>宣传诚信理念、褒扬诚信典型</w:t>
      </w:r>
      <w:r w:rsidR="000F55A4" w:rsidRPr="006A3428">
        <w:rPr>
          <w:rFonts w:ascii="仿宋_GB2312" w:eastAsia="仿宋_GB2312" w:hAnsi="Times New Roman" w:cs="Times New Roman" w:hint="eastAsia"/>
          <w:sz w:val="32"/>
          <w:szCs w:val="32"/>
        </w:rPr>
        <w:t>，大力传播交通运输诚信文化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316671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55E31" w:rsidRPr="006A3428" w:rsidRDefault="00155E31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十九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）发挥信用惠民作用。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多方式宣传和推介个人信用白鹭分，进一步扩大白鹭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分应用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的场景和范围，提升白鹭</w:t>
      </w:r>
      <w:proofErr w:type="gramStart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分应用</w:t>
      </w:r>
      <w:proofErr w:type="gramEnd"/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的便利度、知晓度和影响力。继续拓展“信易+”应用，让守信者受益。</w:t>
      </w:r>
      <w:r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1B5365" w:rsidRPr="006A3428" w:rsidRDefault="007769F6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微软雅黑" w:hAnsi="微软雅黑" w:cs="宋体" w:hint="eastAsia"/>
          <w:b/>
          <w:bCs/>
          <w:kern w:val="36"/>
          <w:sz w:val="32"/>
          <w:szCs w:val="32"/>
        </w:rPr>
        <w:lastRenderedPageBreak/>
        <w:t>五</w:t>
      </w:r>
      <w:r w:rsidR="001B5365" w:rsidRPr="006A3428">
        <w:rPr>
          <w:rFonts w:ascii="微软雅黑" w:hAnsi="微软雅黑" w:cs="宋体" w:hint="eastAsia"/>
          <w:b/>
          <w:bCs/>
          <w:kern w:val="36"/>
          <w:sz w:val="32"/>
          <w:szCs w:val="32"/>
        </w:rPr>
        <w:t>、推进政务诚信建设取得新进展</w:t>
      </w:r>
    </w:p>
    <w:p w:rsidR="001B5365" w:rsidRPr="006A3428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二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十）加强自身诚信建设。</w:t>
      </w:r>
      <w:r w:rsidR="007213A8" w:rsidRPr="006A3428">
        <w:rPr>
          <w:rFonts w:ascii="仿宋_GB2312" w:eastAsia="仿宋_GB2312" w:hAnsi="Times New Roman" w:cs="Times New Roman" w:hint="eastAsia"/>
          <w:sz w:val="32"/>
          <w:szCs w:val="32"/>
        </w:rPr>
        <w:t>依法依规做好政务信息主动公开工作，推进“互联网+政务服务”，推进政务服务线上线下融合发展。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充分发挥</w:t>
      </w:r>
      <w:r w:rsidR="00490671" w:rsidRPr="006A3428">
        <w:rPr>
          <w:rFonts w:ascii="仿宋_GB2312" w:eastAsia="仿宋_GB2312" w:hAnsi="Times New Roman" w:cs="Times New Roman" w:hint="eastAsia"/>
          <w:sz w:val="32"/>
          <w:szCs w:val="32"/>
        </w:rPr>
        <w:t>自身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在社会信用体系建设中的表率引领作用，自觉守信践诺，严格履行各项约定义务，</w:t>
      </w:r>
      <w:r w:rsidR="007213A8" w:rsidRPr="006A3428">
        <w:rPr>
          <w:rFonts w:ascii="仿宋_GB2312" w:eastAsia="仿宋_GB2312" w:hAnsi="Times New Roman" w:cs="Times New Roman" w:hint="eastAsia"/>
          <w:sz w:val="32"/>
          <w:szCs w:val="32"/>
        </w:rPr>
        <w:t>强化信用约束、信用履职和监督问责机制。</w:t>
      </w:r>
      <w:r w:rsidR="00D81A78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D81A78" w:rsidRPr="001B5365" w:rsidRDefault="001B5365" w:rsidP="005F1C26">
      <w:pPr>
        <w:shd w:val="clear" w:color="auto" w:fill="FFFFFF"/>
        <w:adjustRightInd/>
        <w:snapToGrid/>
        <w:spacing w:after="0" w:line="580" w:lineRule="exact"/>
        <w:ind w:firstLine="632"/>
        <w:jc w:val="both"/>
        <w:rPr>
          <w:rFonts w:ascii="仿宋_GB2312" w:eastAsia="仿宋_GB2312" w:hAnsiTheme="minorEastAsia"/>
          <w:sz w:val="32"/>
          <w:szCs w:val="32"/>
        </w:rPr>
      </w:pP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（</w:t>
      </w:r>
      <w:r w:rsid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二十一</w:t>
      </w:r>
      <w:r w:rsidRPr="006A3428">
        <w:rPr>
          <w:rFonts w:ascii="楷体_GB2312" w:eastAsia="楷体_GB2312" w:hAnsi="微软雅黑" w:cs="Times New Roman" w:hint="eastAsia"/>
          <w:b/>
          <w:bCs/>
          <w:sz w:val="32"/>
          <w:szCs w:val="32"/>
        </w:rPr>
        <w:t>）推进行业领域信用创新实践。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市交通运输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行业实际，开展信用创新应用，并形成典型经验，</w:t>
      </w:r>
      <w:r w:rsidR="006A3428" w:rsidRPr="006A3428">
        <w:rPr>
          <w:rFonts w:ascii="仿宋_GB2312" w:eastAsia="仿宋_GB2312" w:hAnsi="Times New Roman" w:cs="Times New Roman" w:hint="eastAsia"/>
          <w:sz w:val="32"/>
          <w:szCs w:val="32"/>
        </w:rPr>
        <w:t>上报市信用平台</w:t>
      </w:r>
      <w:r w:rsidRPr="006A342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81A78" w:rsidRPr="006A3428">
        <w:rPr>
          <w:rFonts w:ascii="仿宋_GB2312" w:eastAsia="仿宋_GB2312" w:hAnsiTheme="minorEastAsia" w:hint="eastAsia"/>
          <w:sz w:val="32"/>
          <w:szCs w:val="32"/>
        </w:rPr>
        <w:t>（牵头单位：局法规处，责任单位：局机关相关处室、局属相关单位）</w:t>
      </w:r>
    </w:p>
    <w:p w:rsidR="007F409F" w:rsidRPr="00CC6CDC" w:rsidRDefault="007F409F" w:rsidP="005F1C26">
      <w:pPr>
        <w:spacing w:after="0" w:line="58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p w:rsidR="004358AB" w:rsidRPr="00CC6CDC" w:rsidRDefault="004358AB" w:rsidP="005F1C26">
      <w:pPr>
        <w:spacing w:after="0" w:line="580" w:lineRule="exact"/>
        <w:jc w:val="both"/>
      </w:pPr>
    </w:p>
    <w:sectPr w:rsidR="004358AB" w:rsidRPr="00CC6C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4E" w:rsidRDefault="0002164E" w:rsidP="0002164E">
      <w:pPr>
        <w:spacing w:after="0"/>
      </w:pPr>
      <w:r>
        <w:separator/>
      </w:r>
    </w:p>
  </w:endnote>
  <w:endnote w:type="continuationSeparator" w:id="1">
    <w:p w:rsidR="0002164E" w:rsidRDefault="0002164E" w:rsidP="000216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4E" w:rsidRDefault="0002164E" w:rsidP="0002164E">
      <w:pPr>
        <w:spacing w:after="0"/>
      </w:pPr>
      <w:r>
        <w:separator/>
      </w:r>
    </w:p>
  </w:footnote>
  <w:footnote w:type="continuationSeparator" w:id="1">
    <w:p w:rsidR="0002164E" w:rsidRDefault="0002164E" w:rsidP="000216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64E"/>
    <w:rsid w:val="00061FAC"/>
    <w:rsid w:val="000B29E0"/>
    <w:rsid w:val="000F55A4"/>
    <w:rsid w:val="001324BA"/>
    <w:rsid w:val="00155E31"/>
    <w:rsid w:val="001805D6"/>
    <w:rsid w:val="00194052"/>
    <w:rsid w:val="001B5365"/>
    <w:rsid w:val="002314AB"/>
    <w:rsid w:val="00256679"/>
    <w:rsid w:val="00277F0E"/>
    <w:rsid w:val="002F1920"/>
    <w:rsid w:val="003066A2"/>
    <w:rsid w:val="00316671"/>
    <w:rsid w:val="00323B43"/>
    <w:rsid w:val="00373D19"/>
    <w:rsid w:val="003D37D8"/>
    <w:rsid w:val="00426133"/>
    <w:rsid w:val="004358AB"/>
    <w:rsid w:val="00452DCA"/>
    <w:rsid w:val="00465D7E"/>
    <w:rsid w:val="00490671"/>
    <w:rsid w:val="00505495"/>
    <w:rsid w:val="005100E1"/>
    <w:rsid w:val="00534CB5"/>
    <w:rsid w:val="00586C94"/>
    <w:rsid w:val="005B745D"/>
    <w:rsid w:val="005F1C26"/>
    <w:rsid w:val="006A3428"/>
    <w:rsid w:val="007213A8"/>
    <w:rsid w:val="007769F6"/>
    <w:rsid w:val="007B2412"/>
    <w:rsid w:val="007C00F8"/>
    <w:rsid w:val="007F409F"/>
    <w:rsid w:val="008A0C6F"/>
    <w:rsid w:val="008B7726"/>
    <w:rsid w:val="008C44DC"/>
    <w:rsid w:val="00913459"/>
    <w:rsid w:val="0096102B"/>
    <w:rsid w:val="009870AA"/>
    <w:rsid w:val="009E7C3C"/>
    <w:rsid w:val="00A16561"/>
    <w:rsid w:val="00A24978"/>
    <w:rsid w:val="00A64A1D"/>
    <w:rsid w:val="00A76675"/>
    <w:rsid w:val="00AF7444"/>
    <w:rsid w:val="00BB54C5"/>
    <w:rsid w:val="00CB4DBE"/>
    <w:rsid w:val="00CC6CDC"/>
    <w:rsid w:val="00CD3A8D"/>
    <w:rsid w:val="00D131A1"/>
    <w:rsid w:val="00D31D50"/>
    <w:rsid w:val="00D35B64"/>
    <w:rsid w:val="00D81A78"/>
    <w:rsid w:val="00DB1200"/>
    <w:rsid w:val="00DB7EA1"/>
    <w:rsid w:val="00E72EAF"/>
    <w:rsid w:val="00EA5461"/>
    <w:rsid w:val="00F10DF0"/>
    <w:rsid w:val="00F3577C"/>
    <w:rsid w:val="00F7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B536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3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0216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6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6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64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DF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D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D8A8-6E9E-4640-B82D-A35FA887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7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许月姣</cp:lastModifiedBy>
  <cp:revision>24</cp:revision>
  <cp:lastPrinted>2022-05-26T01:11:00Z</cp:lastPrinted>
  <dcterms:created xsi:type="dcterms:W3CDTF">2008-09-11T17:20:00Z</dcterms:created>
  <dcterms:modified xsi:type="dcterms:W3CDTF">2022-05-27T08:42:00Z</dcterms:modified>
</cp:coreProperties>
</file>